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0" w:name="_Toc402340236" w:displacedByCustomXml="prev"/>
        <w:bookmarkEnd w:id="0" w:displacedByCustomXml="prev"/>
        <w:bookmarkStart w:id="1" w:name="_Toc402340235" w:displacedByCustomXml="prev"/>
        <w:bookmarkEnd w:id="1" w:displacedByCustomXml="prev"/>
        <w:bookmarkStart w:id="2" w:name="_Toc511035212" w:displacedByCustomXml="prev"/>
        <w:p w14:paraId="463D705E" w14:textId="77777777" w:rsidR="0055222A" w:rsidRPr="0043627B" w:rsidRDefault="005408D9" w:rsidP="005408D9">
          <w:pPr>
            <w:spacing w:after="0" w:line="276" w:lineRule="auto"/>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62848" behindDoc="0" locked="0" layoutInCell="1" allowOverlap="1" wp14:anchorId="5A3498DD" wp14:editId="2ED92FFA">
                    <wp:simplePos x="0" y="0"/>
                    <wp:positionH relativeFrom="column">
                      <wp:posOffset>120015</wp:posOffset>
                    </wp:positionH>
                    <wp:positionV relativeFrom="paragraph">
                      <wp:posOffset>2890520</wp:posOffset>
                    </wp:positionV>
                    <wp:extent cx="6056630" cy="28765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56630" cy="2876550"/>
                            </a:xfrm>
                            <a:prstGeom prst="rect">
                              <a:avLst/>
                            </a:prstGeom>
                            <a:noFill/>
                            <a:ln w="6350">
                              <a:noFill/>
                            </a:ln>
                          </wps:spPr>
                          <wps:txbx>
                            <w:txbxContent>
                              <w:p w14:paraId="452195D9" w14:textId="28626E7F" w:rsidR="007A1910" w:rsidRPr="00762F8C" w:rsidRDefault="007A1910" w:rsidP="00AD7C6B">
                                <w:pPr>
                                  <w:jc w:val="right"/>
                                  <w:rPr>
                                    <w:rFonts w:ascii="Arial" w:hAnsi="Arial" w:cs="Arial"/>
                                    <w:color w:val="FFFFFF" w:themeColor="background1"/>
                                    <w:sz w:val="48"/>
                                    <w:szCs w:val="48"/>
                                  </w:rPr>
                                </w:pPr>
                                <w:r w:rsidRPr="00762F8C">
                                  <w:rPr>
                                    <w:rFonts w:ascii="Arial" w:hAnsi="Arial" w:cs="Arial"/>
                                    <w:color w:val="FFFFFF" w:themeColor="background1"/>
                                    <w:sz w:val="48"/>
                                    <w:szCs w:val="48"/>
                                  </w:rPr>
                                  <w:t>N.º AI-INF-CI-0</w:t>
                                </w:r>
                                <w:r>
                                  <w:rPr>
                                    <w:rFonts w:ascii="Arial" w:hAnsi="Arial" w:cs="Arial"/>
                                    <w:color w:val="FFFFFF" w:themeColor="background1"/>
                                    <w:sz w:val="48"/>
                                    <w:szCs w:val="48"/>
                                  </w:rPr>
                                  <w:t>17</w:t>
                                </w:r>
                                <w:r w:rsidRPr="00762F8C">
                                  <w:rPr>
                                    <w:rFonts w:ascii="Arial" w:hAnsi="Arial" w:cs="Arial"/>
                                    <w:color w:val="FFFFFF" w:themeColor="background1"/>
                                    <w:sz w:val="48"/>
                                    <w:szCs w:val="48"/>
                                  </w:rPr>
                                  <w:t>-2022</w:t>
                                </w:r>
                              </w:p>
                              <w:p w14:paraId="347E7E79" w14:textId="77777777" w:rsidR="007A1910" w:rsidRPr="00762F8C" w:rsidRDefault="007A1910" w:rsidP="005408D9">
                                <w:pPr>
                                  <w:jc w:val="both"/>
                                  <w:rPr>
                                    <w:rFonts w:ascii="Arial" w:hAnsi="Arial" w:cs="Arial"/>
                                    <w:color w:val="FFFFFF" w:themeColor="background1"/>
                                    <w:sz w:val="48"/>
                                    <w:szCs w:val="48"/>
                                  </w:rPr>
                                </w:pPr>
                                <w:r w:rsidRPr="00762F8C">
                                  <w:rPr>
                                    <w:rFonts w:ascii="Arial" w:hAnsi="Arial" w:cs="Arial"/>
                                    <w:color w:val="FFFFFF" w:themeColor="background1"/>
                                    <w:sz w:val="48"/>
                                    <w:szCs w:val="48"/>
                                  </w:rPr>
                                  <w:t>Verificación del cumplimiento por parte de la División de Adeudos Estatales de la Dirección General de Hacienda</w:t>
                                </w:r>
                                <w:r>
                                  <w:rPr>
                                    <w:rFonts w:ascii="Arial" w:hAnsi="Arial" w:cs="Arial"/>
                                    <w:color w:val="FFFFFF" w:themeColor="background1"/>
                                    <w:sz w:val="48"/>
                                    <w:szCs w:val="48"/>
                                  </w:rPr>
                                  <w:t>,</w:t>
                                </w:r>
                                <w:r w:rsidRPr="00762F8C">
                                  <w:rPr>
                                    <w:rFonts w:ascii="Arial" w:hAnsi="Arial" w:cs="Arial"/>
                                    <w:color w:val="FFFFFF" w:themeColor="background1"/>
                                    <w:sz w:val="48"/>
                                    <w:szCs w:val="48"/>
                                  </w:rPr>
                                  <w:t xml:space="preserve"> de las recomendaciones emitidas por la Auditoría Interna relacionadas con Cobro Judicial.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498DD" id="_x0000_t202" coordsize="21600,21600" o:spt="202" path="m,l,21600r21600,l21600,xe">
                    <v:stroke joinstyle="miter"/>
                    <v:path gradientshapeok="t" o:connecttype="rect"/>
                  </v:shapetype>
                  <v:shape id="Cuadro de texto 4" o:spid="_x0000_s1026" type="#_x0000_t202" style="position:absolute;margin-left:9.45pt;margin-top:227.6pt;width:476.9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" filled="f" stroked="f" strokeweight=".5pt">
                    <v:textbox>
                      <w:txbxContent>
                        <w:p w14:paraId="452195D9" w14:textId="28626E7F" w:rsidR="007A1910" w:rsidRPr="00762F8C" w:rsidRDefault="007A1910" w:rsidP="00AD7C6B">
                          <w:pPr>
                            <w:jc w:val="right"/>
                            <w:rPr>
                              <w:rFonts w:ascii="Arial" w:hAnsi="Arial" w:cs="Arial"/>
                              <w:color w:val="FFFFFF" w:themeColor="background1"/>
                              <w:sz w:val="48"/>
                              <w:szCs w:val="48"/>
                            </w:rPr>
                          </w:pPr>
                          <w:r w:rsidRPr="00762F8C">
                            <w:rPr>
                              <w:rFonts w:ascii="Arial" w:hAnsi="Arial" w:cs="Arial"/>
                              <w:color w:val="FFFFFF" w:themeColor="background1"/>
                              <w:sz w:val="48"/>
                              <w:szCs w:val="48"/>
                            </w:rPr>
                            <w:t>N.º AI-INF-CI-0</w:t>
                          </w:r>
                          <w:r>
                            <w:rPr>
                              <w:rFonts w:ascii="Arial" w:hAnsi="Arial" w:cs="Arial"/>
                              <w:color w:val="FFFFFF" w:themeColor="background1"/>
                              <w:sz w:val="48"/>
                              <w:szCs w:val="48"/>
                            </w:rPr>
                            <w:t>17</w:t>
                          </w:r>
                          <w:r w:rsidRPr="00762F8C">
                            <w:rPr>
                              <w:rFonts w:ascii="Arial" w:hAnsi="Arial" w:cs="Arial"/>
                              <w:color w:val="FFFFFF" w:themeColor="background1"/>
                              <w:sz w:val="48"/>
                              <w:szCs w:val="48"/>
                            </w:rPr>
                            <w:t>-2022</w:t>
                          </w:r>
                        </w:p>
                        <w:p w14:paraId="347E7E79" w14:textId="77777777" w:rsidR="007A1910" w:rsidRPr="00762F8C" w:rsidRDefault="007A1910" w:rsidP="005408D9">
                          <w:pPr>
                            <w:jc w:val="both"/>
                            <w:rPr>
                              <w:rFonts w:ascii="Arial" w:hAnsi="Arial" w:cs="Arial"/>
                              <w:color w:val="FFFFFF" w:themeColor="background1"/>
                              <w:sz w:val="48"/>
                              <w:szCs w:val="48"/>
                            </w:rPr>
                          </w:pPr>
                          <w:r w:rsidRPr="00762F8C">
                            <w:rPr>
                              <w:rFonts w:ascii="Arial" w:hAnsi="Arial" w:cs="Arial"/>
                              <w:color w:val="FFFFFF" w:themeColor="background1"/>
                              <w:sz w:val="48"/>
                              <w:szCs w:val="48"/>
                            </w:rPr>
                            <w:t>Verificación del cumplimiento por parte de la División de Adeudos Estatales de la Dirección General de Hacienda</w:t>
                          </w:r>
                          <w:r>
                            <w:rPr>
                              <w:rFonts w:ascii="Arial" w:hAnsi="Arial" w:cs="Arial"/>
                              <w:color w:val="FFFFFF" w:themeColor="background1"/>
                              <w:sz w:val="48"/>
                              <w:szCs w:val="48"/>
                            </w:rPr>
                            <w:t>,</w:t>
                          </w:r>
                          <w:r w:rsidRPr="00762F8C">
                            <w:rPr>
                              <w:rFonts w:ascii="Arial" w:hAnsi="Arial" w:cs="Arial"/>
                              <w:color w:val="FFFFFF" w:themeColor="background1"/>
                              <w:sz w:val="48"/>
                              <w:szCs w:val="48"/>
                            </w:rPr>
                            <w:t xml:space="preserve"> de las recomendaciones emitidas por la Auditoría Interna relacionadas con Cobro Judicial.</w:t>
                          </w:r>
                        </w:p>
                      </w:txbxContent>
                    </v:textbox>
                  </v:shape>
                </w:pict>
              </mc:Fallback>
            </mc:AlternateContent>
          </w:r>
          <w:r w:rsidR="00AD7C6B" w:rsidRPr="0043627B">
            <w:rPr>
              <w:rFonts w:ascii="Arial" w:hAnsi="Arial" w:cs="Arial"/>
              <w:b/>
              <w:noProof/>
              <w:sz w:val="24"/>
              <w:szCs w:val="24"/>
            </w:rPr>
            <w:drawing>
              <wp:anchor distT="0" distB="0" distL="114300" distR="114300" simplePos="0" relativeHeight="251651584" behindDoc="1" locked="0" layoutInCell="1" allowOverlap="1" wp14:anchorId="5D124D8E" wp14:editId="22362238">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r w:rsidR="00AD7C6B" w:rsidRPr="0043627B">
            <w:rPr>
              <w:rFonts w:ascii="Arial" w:hAnsi="Arial" w:cs="Arial"/>
              <w:noProof/>
              <w:sz w:val="24"/>
              <w:szCs w:val="24"/>
              <w:lang w:eastAsia="es-CR"/>
            </w:rPr>
            <mc:AlternateContent>
              <mc:Choice Requires="wps">
                <w:drawing>
                  <wp:anchor distT="0" distB="0" distL="114300" distR="114300" simplePos="0" relativeHeight="251664896" behindDoc="0" locked="0" layoutInCell="1" allowOverlap="1" wp14:anchorId="11CB8BD3" wp14:editId="48BFCA16">
                    <wp:simplePos x="0" y="0"/>
                    <wp:positionH relativeFrom="margin">
                      <wp:align>center</wp:align>
                    </wp:positionH>
                    <wp:positionV relativeFrom="paragraph">
                      <wp:posOffset>5806440</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5628AC" w14:textId="77777777" w:rsidR="007A1910" w:rsidRDefault="007A191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466316CA" w14:textId="77777777" w:rsidR="007A1910" w:rsidRPr="00AD7C6B" w:rsidRDefault="007A191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8BD3" id="Text Box 5" o:spid="_x0000_s1027" type="#_x0000_t202" style="position:absolute;margin-left:0;margin-top:457.2pt;width:522pt;height:75.6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" filled="f" stroked="f">
                    <v:textbox>
                      <w:txbxContent>
                        <w:p w14:paraId="2A5628AC" w14:textId="77777777" w:rsidR="007A1910" w:rsidRDefault="007A191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466316CA" w14:textId="77777777" w:rsidR="007A1910" w:rsidRPr="00AD7C6B" w:rsidRDefault="007A191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p>
      </w:sdtContent>
    </w:sdt>
    <w:bookmarkEnd w:id="2" w:displacedByCustomXml="prev"/>
    <w:p w14:paraId="3E0CAD07" w14:textId="77777777" w:rsidR="0055222A" w:rsidRPr="0043627B" w:rsidRDefault="0055222A" w:rsidP="00643637">
      <w:r w:rsidRPr="0043627B">
        <w:lastRenderedPageBreak/>
        <w:t xml:space="preserve"> </w:t>
      </w:r>
    </w:p>
    <w:bookmarkStart w:id="3" w:name="_Toc363725340" w:displacedByCustomXml="next"/>
    <w:bookmarkStart w:id="4" w:name="_Toc390783321" w:displacedByCustomXml="next"/>
    <w:sdt>
      <w:sdtPr>
        <w:rPr>
          <w:rFonts w:ascii="Arial" w:eastAsiaTheme="minorHAnsi" w:hAnsi="Arial" w:cs="Arial"/>
          <w:b/>
          <w:color w:val="auto"/>
          <w:sz w:val="22"/>
          <w:szCs w:val="22"/>
          <w:lang w:val="es-ES"/>
        </w:rPr>
        <w:id w:val="76867763"/>
        <w:docPartObj>
          <w:docPartGallery w:val="Table of Contents"/>
          <w:docPartUnique/>
        </w:docPartObj>
      </w:sdtPr>
      <w:sdtEndPr>
        <w:rPr>
          <w:bCs/>
        </w:rPr>
      </w:sdtEndPr>
      <w:sdtContent>
        <w:p w14:paraId="0756A815" w14:textId="77777777" w:rsidR="00AE0FB8" w:rsidRPr="00973E6B" w:rsidRDefault="00AE0FB8">
          <w:pPr>
            <w:pStyle w:val="TtuloTDC"/>
            <w:rPr>
              <w:rFonts w:ascii="Arial" w:hAnsi="Arial" w:cs="Arial"/>
              <w:b/>
            </w:rPr>
          </w:pPr>
          <w:r w:rsidRPr="00973E6B">
            <w:rPr>
              <w:rFonts w:ascii="Arial" w:hAnsi="Arial" w:cs="Arial"/>
              <w:b/>
              <w:lang w:val="es-ES"/>
            </w:rPr>
            <w:t>Tabla de contenido</w:t>
          </w:r>
        </w:p>
        <w:p w14:paraId="227AEC7F" w14:textId="2C17185E" w:rsidR="008A604A" w:rsidRPr="00083B55" w:rsidRDefault="00AE0FB8">
          <w:pPr>
            <w:pStyle w:val="TDC1"/>
            <w:tabs>
              <w:tab w:val="left" w:pos="440"/>
              <w:tab w:val="right" w:leader="dot" w:pos="8828"/>
            </w:tabs>
            <w:rPr>
              <w:rFonts w:ascii="Arial" w:eastAsiaTheme="minorEastAsia" w:hAnsi="Arial" w:cs="Arial"/>
              <w:noProof/>
              <w:lang w:eastAsia="es-CR"/>
            </w:rPr>
          </w:pPr>
          <w:r w:rsidRPr="00973E6B">
            <w:rPr>
              <w:rFonts w:ascii="Arial" w:hAnsi="Arial" w:cs="Arial"/>
              <w:b/>
            </w:rPr>
            <w:fldChar w:fldCharType="begin"/>
          </w:r>
          <w:r w:rsidRPr="00973E6B">
            <w:rPr>
              <w:rFonts w:ascii="Arial" w:hAnsi="Arial" w:cs="Arial"/>
              <w:b/>
            </w:rPr>
            <w:instrText xml:space="preserve"> TOC \o "1-3" \h \z \u </w:instrText>
          </w:r>
          <w:r w:rsidRPr="00973E6B">
            <w:rPr>
              <w:rFonts w:ascii="Arial" w:hAnsi="Arial" w:cs="Arial"/>
              <w:b/>
            </w:rPr>
            <w:fldChar w:fldCharType="separate"/>
          </w:r>
          <w:hyperlink w:anchor="_Toc119920092" w:history="1">
            <w:r w:rsidR="008A604A" w:rsidRPr="00083B55">
              <w:rPr>
                <w:rStyle w:val="Hipervnculo"/>
                <w:rFonts w:ascii="Arial" w:hAnsi="Arial" w:cs="Arial"/>
                <w:b/>
                <w:bCs/>
                <w:noProof/>
                <w:kern w:val="28"/>
                <w:lang w:eastAsia="es-ES"/>
              </w:rPr>
              <w:t>1.</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INTRODUCCIÓN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_Toc119920092 \h </w:instrText>
            </w:r>
            <w:r w:rsidR="008A604A" w:rsidRPr="00083B55">
              <w:rPr>
                <w:rFonts w:ascii="Arial" w:hAnsi="Arial" w:cs="Arial"/>
                <w:noProof/>
                <w:webHidden/>
              </w:rPr>
            </w:r>
            <w:r w:rsidR="008A604A" w:rsidRPr="00083B55">
              <w:rPr>
                <w:rFonts w:ascii="Arial" w:hAnsi="Arial" w:cs="Arial"/>
                <w:noProof/>
                <w:webHidden/>
              </w:rPr>
              <w:fldChar w:fldCharType="separate"/>
            </w:r>
            <w:r w:rsidR="00564D2C">
              <w:rPr>
                <w:rFonts w:ascii="Arial" w:hAnsi="Arial" w:cs="Arial"/>
                <w:noProof/>
                <w:webHidden/>
              </w:rPr>
              <w:t>5</w:t>
            </w:r>
            <w:r w:rsidR="008A604A" w:rsidRPr="00083B55">
              <w:rPr>
                <w:rFonts w:ascii="Arial" w:hAnsi="Arial" w:cs="Arial"/>
                <w:noProof/>
                <w:webHidden/>
              </w:rPr>
              <w:fldChar w:fldCharType="end"/>
            </w:r>
          </w:hyperlink>
        </w:p>
        <w:p w14:paraId="60CF86D2" w14:textId="7EBC638D"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3" w:history="1">
            <w:r w:rsidR="008A604A" w:rsidRPr="00083B55">
              <w:rPr>
                <w:rStyle w:val="Hipervnculo"/>
                <w:rFonts w:ascii="Arial" w:hAnsi="Arial" w:cs="Arial"/>
                <w:b/>
                <w:noProof/>
                <w:lang w:val="es-ES_tradnl" w:eastAsia="es-ES"/>
              </w:rPr>
              <w:t>1.1.</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Origen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_Toc119920093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14741975" w14:textId="7A2ACD9F"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4" w:history="1">
            <w:r w:rsidR="008A604A" w:rsidRPr="00083B55">
              <w:rPr>
                <w:rStyle w:val="Hipervnculo"/>
                <w:rFonts w:ascii="Arial" w:hAnsi="Arial" w:cs="Arial"/>
                <w:b/>
                <w:noProof/>
                <w:lang w:val="es-ES_tradnl" w:eastAsia="es-ES"/>
              </w:rPr>
              <w:t>1.2.</w:t>
            </w:r>
            <w:r w:rsidR="008A604A" w:rsidRPr="00083B55">
              <w:rPr>
                <w:rFonts w:ascii="Arial" w:eastAsiaTheme="minorEastAsia" w:hAnsi="Arial" w:cs="Arial"/>
                <w:noProof/>
                <w:lang w:eastAsia="es-CR"/>
              </w:rPr>
              <w:tab/>
            </w:r>
            <w:r w:rsidR="008A604A" w:rsidRPr="00083B55">
              <w:rPr>
                <w:rStyle w:val="Hipervnculo"/>
                <w:rFonts w:ascii="Arial" w:hAnsi="Arial" w:cs="Arial"/>
                <w:b/>
                <w:noProof/>
              </w:rPr>
              <w:t>Objetivo del estudio</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_Toc119920094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450157F3" w14:textId="6657175F"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5" w:history="1">
            <w:r w:rsidR="008A604A" w:rsidRPr="00083B55">
              <w:rPr>
                <w:rStyle w:val="Hipervnculo"/>
                <w:rFonts w:ascii="Arial" w:hAnsi="Arial" w:cs="Arial"/>
                <w:b/>
                <w:noProof/>
                <w:lang w:val="es-ES_tradnl" w:eastAsia="es-ES"/>
              </w:rPr>
              <w:t>1.3.</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Alcance</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_Toc119920095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5F97D2D4" w14:textId="49A26F15"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6" w:history="1">
            <w:r w:rsidR="008A604A" w:rsidRPr="00083B55">
              <w:rPr>
                <w:rStyle w:val="Hipervnculo"/>
                <w:rFonts w:ascii="Arial" w:hAnsi="Arial" w:cs="Arial"/>
                <w:b/>
                <w:noProof/>
                <w:lang w:val="es-ES_tradnl" w:eastAsia="es-ES"/>
              </w:rPr>
              <w:t>1.4.</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Criterios de evaluación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_Toc119920096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5E7FE8C7" w14:textId="5C05859F"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7" w:history="1">
            <w:r w:rsidR="008A604A" w:rsidRPr="00083B55">
              <w:rPr>
                <w:rStyle w:val="Hipervnculo"/>
                <w:rFonts w:ascii="Arial" w:hAnsi="Arial" w:cs="Arial"/>
                <w:b/>
                <w:noProof/>
                <w:lang w:val="es-ES_tradnl" w:eastAsia="es-ES"/>
              </w:rPr>
              <w:t>1.5.</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Metodología aplicada</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_Toc119920097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6C120B5B" w14:textId="772CB14E"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8" w:history="1">
            <w:r w:rsidR="008A604A" w:rsidRPr="00083B55">
              <w:rPr>
                <w:rStyle w:val="Hipervnculo"/>
                <w:rFonts w:ascii="Arial" w:hAnsi="Arial" w:cs="Arial"/>
                <w:b/>
                <w:noProof/>
                <w:lang w:val="es-ES_tradnl" w:eastAsia="es-ES"/>
              </w:rPr>
              <w:t>1.6.</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Comunicación de resultados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_Toc119920098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5</w:t>
            </w:r>
            <w:r w:rsidR="008A604A" w:rsidRPr="00083B55">
              <w:rPr>
                <w:rFonts w:ascii="Arial" w:hAnsi="Arial" w:cs="Arial"/>
                <w:noProof/>
                <w:webHidden/>
              </w:rPr>
              <w:fldChar w:fldCharType="end"/>
            </w:r>
          </w:hyperlink>
        </w:p>
        <w:p w14:paraId="0B4AA5F0" w14:textId="3B59BBC3"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099" w:history="1">
            <w:r w:rsidR="008A604A" w:rsidRPr="00083B55">
              <w:rPr>
                <w:rStyle w:val="Hipervnculo"/>
                <w:rFonts w:ascii="Arial" w:hAnsi="Arial" w:cs="Arial"/>
                <w:b/>
                <w:noProof/>
                <w:lang w:val="es-ES_tradnl" w:eastAsia="es-ES"/>
              </w:rPr>
              <w:t>1.7.</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Normativa relacionada con el control interno</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_Toc119920099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6</w:t>
            </w:r>
            <w:r w:rsidR="008A604A" w:rsidRPr="00083B55">
              <w:rPr>
                <w:rFonts w:ascii="Arial" w:hAnsi="Arial" w:cs="Arial"/>
                <w:noProof/>
                <w:webHidden/>
              </w:rPr>
              <w:fldChar w:fldCharType="end"/>
            </w:r>
          </w:hyperlink>
        </w:p>
        <w:p w14:paraId="49CC8FAD" w14:textId="14C6AB96" w:rsidR="008A604A" w:rsidRPr="00083B55" w:rsidRDefault="00564D2C">
          <w:pPr>
            <w:pStyle w:val="TDC2"/>
            <w:tabs>
              <w:tab w:val="left" w:pos="880"/>
              <w:tab w:val="right" w:leader="dot" w:pos="8828"/>
            </w:tabs>
            <w:rPr>
              <w:rFonts w:ascii="Arial" w:eastAsiaTheme="minorEastAsia" w:hAnsi="Arial" w:cs="Arial"/>
              <w:noProof/>
              <w:lang w:eastAsia="es-CR"/>
            </w:rPr>
          </w:pPr>
          <w:hyperlink w:anchor="_Toc119920100" w:history="1">
            <w:r w:rsidR="008A604A" w:rsidRPr="00083B55">
              <w:rPr>
                <w:rStyle w:val="Hipervnculo"/>
                <w:rFonts w:ascii="Arial" w:hAnsi="Arial" w:cs="Arial"/>
                <w:b/>
                <w:noProof/>
                <w:lang w:val="es-ES_tradnl" w:eastAsia="es-ES"/>
              </w:rPr>
              <w:t>1.8.</w:t>
            </w:r>
            <w:r w:rsidR="008A604A" w:rsidRPr="00083B55">
              <w:rPr>
                <w:rFonts w:ascii="Arial" w:eastAsiaTheme="minorEastAsia" w:hAnsi="Arial" w:cs="Arial"/>
                <w:noProof/>
                <w:lang w:eastAsia="es-CR"/>
              </w:rPr>
              <w:tab/>
            </w:r>
            <w:r w:rsidR="008A604A" w:rsidRPr="00083B55">
              <w:rPr>
                <w:rStyle w:val="Hipervnculo"/>
                <w:rFonts w:ascii="Arial" w:hAnsi="Arial" w:cs="Arial"/>
                <w:b/>
                <w:noProof/>
                <w:lang w:val="es-ES_tradnl" w:eastAsia="es-ES"/>
              </w:rPr>
              <w:t>Generalidades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_Toc119920100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6</w:t>
            </w:r>
            <w:r w:rsidR="008A604A" w:rsidRPr="00083B55">
              <w:rPr>
                <w:rFonts w:ascii="Arial" w:hAnsi="Arial" w:cs="Arial"/>
                <w:noProof/>
                <w:webHidden/>
              </w:rPr>
              <w:fldChar w:fldCharType="end"/>
            </w:r>
          </w:hyperlink>
        </w:p>
        <w:p w14:paraId="47B0AF1F" w14:textId="412794A9" w:rsidR="008A604A" w:rsidRPr="00083B55" w:rsidRDefault="00564D2C">
          <w:pPr>
            <w:pStyle w:val="TDC1"/>
            <w:tabs>
              <w:tab w:val="left" w:pos="440"/>
              <w:tab w:val="right" w:leader="dot" w:pos="8828"/>
            </w:tabs>
            <w:rPr>
              <w:rFonts w:ascii="Arial" w:eastAsiaTheme="minorEastAsia" w:hAnsi="Arial" w:cs="Arial"/>
              <w:noProof/>
              <w:lang w:eastAsia="es-CR"/>
            </w:rPr>
          </w:pPr>
          <w:hyperlink w:anchor="_Toc119920101" w:history="1">
            <w:r w:rsidR="008A604A" w:rsidRPr="00083B55">
              <w:rPr>
                <w:rStyle w:val="Hipervnculo"/>
                <w:rFonts w:ascii="Arial" w:hAnsi="Arial" w:cs="Arial"/>
                <w:b/>
                <w:bCs/>
                <w:noProof/>
                <w:kern w:val="28"/>
                <w:lang w:eastAsia="es-ES"/>
              </w:rPr>
              <w:t>2.</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RESULTADOS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_Toc119920101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7</w:t>
            </w:r>
            <w:r w:rsidR="008A604A" w:rsidRPr="00083B55">
              <w:rPr>
                <w:rFonts w:ascii="Arial" w:hAnsi="Arial" w:cs="Arial"/>
                <w:noProof/>
                <w:webHidden/>
              </w:rPr>
              <w:fldChar w:fldCharType="end"/>
            </w:r>
          </w:hyperlink>
        </w:p>
        <w:p w14:paraId="603B18D8" w14:textId="7155014F" w:rsidR="008A604A" w:rsidRPr="00083B55" w:rsidRDefault="00564D2C">
          <w:pPr>
            <w:pStyle w:val="TDC1"/>
            <w:tabs>
              <w:tab w:val="left" w:pos="660"/>
              <w:tab w:val="right" w:leader="dot" w:pos="8828"/>
            </w:tabs>
            <w:rPr>
              <w:rFonts w:ascii="Arial" w:eastAsiaTheme="minorEastAsia" w:hAnsi="Arial" w:cs="Arial"/>
              <w:noProof/>
              <w:lang w:eastAsia="es-CR"/>
            </w:rPr>
          </w:pPr>
          <w:hyperlink w:anchor="_Toc119920102" w:history="1">
            <w:r w:rsidR="008A604A" w:rsidRPr="00083B55">
              <w:rPr>
                <w:rStyle w:val="Hipervnculo"/>
                <w:rFonts w:ascii="Arial" w:hAnsi="Arial" w:cs="Arial"/>
                <w:b/>
                <w:bCs/>
                <w:noProof/>
                <w:kern w:val="28"/>
                <w:lang w:eastAsia="es-ES"/>
              </w:rPr>
              <w:t>2.1.</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Estado de las recomendaciones giradas a la División de Adeudos Estatales.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_Toc119920102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7</w:t>
            </w:r>
            <w:r w:rsidR="008A604A" w:rsidRPr="00083B55">
              <w:rPr>
                <w:rFonts w:ascii="Arial" w:hAnsi="Arial" w:cs="Arial"/>
                <w:noProof/>
                <w:webHidden/>
              </w:rPr>
              <w:fldChar w:fldCharType="end"/>
            </w:r>
          </w:hyperlink>
        </w:p>
        <w:p w14:paraId="5634F57A" w14:textId="1C2C9C6E" w:rsidR="008A604A" w:rsidRPr="00083B55" w:rsidRDefault="00564D2C">
          <w:pPr>
            <w:pStyle w:val="TDC1"/>
            <w:tabs>
              <w:tab w:val="left" w:pos="660"/>
              <w:tab w:val="right" w:leader="dot" w:pos="8828"/>
            </w:tabs>
            <w:rPr>
              <w:rFonts w:ascii="Arial" w:eastAsiaTheme="minorEastAsia" w:hAnsi="Arial" w:cs="Arial"/>
              <w:noProof/>
              <w:lang w:eastAsia="es-CR"/>
            </w:rPr>
          </w:pPr>
          <w:hyperlink w:anchor="_Toc119920103" w:history="1">
            <w:r w:rsidR="008A604A" w:rsidRPr="00083B55">
              <w:rPr>
                <w:rStyle w:val="Hipervnculo"/>
                <w:rFonts w:ascii="Arial" w:hAnsi="Arial" w:cs="Arial"/>
                <w:b/>
                <w:bCs/>
                <w:noProof/>
                <w:kern w:val="28"/>
                <w:lang w:eastAsia="es-ES"/>
              </w:rPr>
              <w:t>2.2.</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Sobre las 17 recomendaciones pendientes de atender.</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_Toc119920103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8</w:t>
            </w:r>
            <w:r w:rsidR="008A604A" w:rsidRPr="00083B55">
              <w:rPr>
                <w:rFonts w:ascii="Arial" w:hAnsi="Arial" w:cs="Arial"/>
                <w:noProof/>
                <w:webHidden/>
              </w:rPr>
              <w:fldChar w:fldCharType="end"/>
            </w:r>
          </w:hyperlink>
        </w:p>
        <w:p w14:paraId="48BA2F73" w14:textId="3EFAA5CC" w:rsidR="008A604A" w:rsidRPr="00083B55" w:rsidRDefault="00564D2C">
          <w:pPr>
            <w:pStyle w:val="TDC1"/>
            <w:tabs>
              <w:tab w:val="right" w:leader="dot" w:pos="8828"/>
            </w:tabs>
            <w:rPr>
              <w:rFonts w:ascii="Arial" w:eastAsiaTheme="minorEastAsia" w:hAnsi="Arial" w:cs="Arial"/>
              <w:noProof/>
              <w:lang w:eastAsia="es-CR"/>
            </w:rPr>
          </w:pPr>
          <w:hyperlink w:anchor="_Toc119920104" w:history="1">
            <w:r w:rsidR="008A604A" w:rsidRPr="00083B55">
              <w:rPr>
                <w:rStyle w:val="Hipervnculo"/>
                <w:rFonts w:ascii="Arial" w:hAnsi="Arial" w:cs="Arial"/>
                <w:b/>
                <w:bCs/>
                <w:noProof/>
                <w:kern w:val="28"/>
                <w:lang w:eastAsia="es-ES"/>
              </w:rPr>
              <w:t>2.2.1 Sobre el proceso de administración y custodia de la información y documentación.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_Toc119920104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8</w:t>
            </w:r>
            <w:r w:rsidR="008A604A" w:rsidRPr="00083B55">
              <w:rPr>
                <w:rFonts w:ascii="Arial" w:hAnsi="Arial" w:cs="Arial"/>
                <w:noProof/>
                <w:webHidden/>
              </w:rPr>
              <w:fldChar w:fldCharType="end"/>
            </w:r>
          </w:hyperlink>
        </w:p>
        <w:p w14:paraId="29BB185C" w14:textId="024B0C6C" w:rsidR="008A604A" w:rsidRPr="00083B55" w:rsidRDefault="00564D2C">
          <w:pPr>
            <w:pStyle w:val="TDC1"/>
            <w:tabs>
              <w:tab w:val="right" w:leader="dot" w:pos="8828"/>
            </w:tabs>
            <w:rPr>
              <w:rFonts w:ascii="Arial" w:eastAsiaTheme="minorEastAsia" w:hAnsi="Arial" w:cs="Arial"/>
              <w:noProof/>
              <w:lang w:eastAsia="es-CR"/>
            </w:rPr>
          </w:pPr>
          <w:hyperlink w:anchor="_Toc119920105" w:history="1">
            <w:r w:rsidR="008A604A" w:rsidRPr="00083B55">
              <w:rPr>
                <w:rStyle w:val="Hipervnculo"/>
                <w:rFonts w:ascii="Arial" w:hAnsi="Arial" w:cs="Arial"/>
                <w:b/>
                <w:bCs/>
                <w:noProof/>
                <w:kern w:val="28"/>
                <w:lang w:eastAsia="es-ES"/>
              </w:rPr>
              <w:t>2.2.2 Sobre los controles para los expedientes de cobro judicial.</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_Toc119920105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8</w:t>
            </w:r>
            <w:r w:rsidR="008A604A" w:rsidRPr="00083B55">
              <w:rPr>
                <w:rFonts w:ascii="Arial" w:hAnsi="Arial" w:cs="Arial"/>
                <w:noProof/>
                <w:webHidden/>
              </w:rPr>
              <w:fldChar w:fldCharType="end"/>
            </w:r>
          </w:hyperlink>
        </w:p>
        <w:p w14:paraId="09A24323" w14:textId="68988B2B" w:rsidR="008A604A" w:rsidRPr="00083B55" w:rsidRDefault="00564D2C">
          <w:pPr>
            <w:pStyle w:val="TDC1"/>
            <w:tabs>
              <w:tab w:val="right" w:leader="dot" w:pos="8828"/>
            </w:tabs>
            <w:rPr>
              <w:rFonts w:ascii="Arial" w:eastAsiaTheme="minorEastAsia" w:hAnsi="Arial" w:cs="Arial"/>
              <w:noProof/>
              <w:lang w:eastAsia="es-CR"/>
            </w:rPr>
          </w:pPr>
          <w:hyperlink w:anchor="_Toc119920106" w:history="1">
            <w:r w:rsidR="008A604A" w:rsidRPr="00083B55">
              <w:rPr>
                <w:rStyle w:val="Hipervnculo"/>
                <w:rFonts w:ascii="Arial" w:hAnsi="Arial" w:cs="Arial"/>
                <w:b/>
                <w:bCs/>
                <w:noProof/>
                <w:kern w:val="28"/>
                <w:lang w:eastAsia="es-ES"/>
              </w:rPr>
              <w:t>2.2.3 Sobre los controles establecidos en el manejo de los expedientes físicos.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_Toc119920106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9</w:t>
            </w:r>
            <w:r w:rsidR="008A604A" w:rsidRPr="00083B55">
              <w:rPr>
                <w:rFonts w:ascii="Arial" w:hAnsi="Arial" w:cs="Arial"/>
                <w:noProof/>
                <w:webHidden/>
              </w:rPr>
              <w:fldChar w:fldCharType="end"/>
            </w:r>
          </w:hyperlink>
        </w:p>
        <w:p w14:paraId="30F654A8" w14:textId="42563AA6" w:rsidR="008A604A" w:rsidRPr="00083B55" w:rsidRDefault="00564D2C">
          <w:pPr>
            <w:pStyle w:val="TDC1"/>
            <w:tabs>
              <w:tab w:val="right" w:leader="dot" w:pos="8828"/>
            </w:tabs>
            <w:rPr>
              <w:rFonts w:ascii="Arial" w:eastAsiaTheme="minorEastAsia" w:hAnsi="Arial" w:cs="Arial"/>
              <w:noProof/>
              <w:lang w:eastAsia="es-CR"/>
            </w:rPr>
          </w:pPr>
          <w:hyperlink w:anchor="_Toc119920107" w:history="1">
            <w:r w:rsidR="008A604A" w:rsidRPr="00083B55">
              <w:rPr>
                <w:rStyle w:val="Hipervnculo"/>
                <w:rFonts w:ascii="Arial" w:hAnsi="Arial" w:cs="Arial"/>
                <w:b/>
                <w:bCs/>
                <w:noProof/>
                <w:kern w:val="28"/>
                <w:lang w:eastAsia="es-ES"/>
              </w:rPr>
              <w:t>2.2.4 Sobre expedientes no localizados y consignados como improcedentes y expedientes no localizados.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_Toc119920107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10</w:t>
            </w:r>
            <w:r w:rsidR="008A604A" w:rsidRPr="00083B55">
              <w:rPr>
                <w:rFonts w:ascii="Arial" w:hAnsi="Arial" w:cs="Arial"/>
                <w:noProof/>
                <w:webHidden/>
              </w:rPr>
              <w:fldChar w:fldCharType="end"/>
            </w:r>
          </w:hyperlink>
        </w:p>
        <w:p w14:paraId="751A7AAF" w14:textId="18697C47" w:rsidR="008A604A" w:rsidRPr="00083B55" w:rsidRDefault="00564D2C">
          <w:pPr>
            <w:pStyle w:val="TDC1"/>
            <w:tabs>
              <w:tab w:val="right" w:leader="dot" w:pos="8828"/>
            </w:tabs>
            <w:rPr>
              <w:rFonts w:ascii="Arial" w:eastAsiaTheme="minorEastAsia" w:hAnsi="Arial" w:cs="Arial"/>
              <w:noProof/>
              <w:lang w:eastAsia="es-CR"/>
            </w:rPr>
          </w:pPr>
          <w:hyperlink w:anchor="_Toc119920108" w:history="1">
            <w:r w:rsidR="008A604A" w:rsidRPr="00083B55">
              <w:rPr>
                <w:rStyle w:val="Hipervnculo"/>
                <w:rFonts w:ascii="Arial" w:hAnsi="Arial" w:cs="Arial"/>
                <w:b/>
                <w:bCs/>
                <w:noProof/>
                <w:kern w:val="28"/>
                <w:lang w:eastAsia="es-ES"/>
              </w:rPr>
              <w:t>2.2.5 Sobre debilidades en la administración de la información.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_Toc119920108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10</w:t>
            </w:r>
            <w:r w:rsidR="008A604A" w:rsidRPr="00083B55">
              <w:rPr>
                <w:rFonts w:ascii="Arial" w:hAnsi="Arial" w:cs="Arial"/>
                <w:noProof/>
                <w:webHidden/>
              </w:rPr>
              <w:fldChar w:fldCharType="end"/>
            </w:r>
          </w:hyperlink>
        </w:p>
        <w:p w14:paraId="13E17A9F" w14:textId="790B090A" w:rsidR="008A604A" w:rsidRPr="00083B55" w:rsidRDefault="00564D2C">
          <w:pPr>
            <w:pStyle w:val="TDC1"/>
            <w:tabs>
              <w:tab w:val="right" w:leader="dot" w:pos="8828"/>
            </w:tabs>
            <w:rPr>
              <w:rFonts w:ascii="Arial" w:eastAsiaTheme="minorEastAsia" w:hAnsi="Arial" w:cs="Arial"/>
              <w:noProof/>
              <w:lang w:eastAsia="es-CR"/>
            </w:rPr>
          </w:pPr>
          <w:hyperlink w:anchor="_Toc119920109" w:history="1">
            <w:r w:rsidR="008A604A" w:rsidRPr="00083B55">
              <w:rPr>
                <w:rStyle w:val="Hipervnculo"/>
                <w:rFonts w:ascii="Arial" w:hAnsi="Arial" w:cs="Arial"/>
                <w:b/>
                <w:bCs/>
                <w:noProof/>
                <w:kern w:val="28"/>
                <w:lang w:eastAsia="es-ES"/>
              </w:rPr>
              <w:t>2.2.6 Sobre el reporte de la gestión del Departamento de Cobro Judicial.</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_Toc119920109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11</w:t>
            </w:r>
            <w:r w:rsidR="008A604A" w:rsidRPr="00083B55">
              <w:rPr>
                <w:rFonts w:ascii="Arial" w:hAnsi="Arial" w:cs="Arial"/>
                <w:noProof/>
                <w:webHidden/>
              </w:rPr>
              <w:fldChar w:fldCharType="end"/>
            </w:r>
          </w:hyperlink>
        </w:p>
        <w:p w14:paraId="4C29E0BB" w14:textId="79FAE5A5" w:rsidR="008A604A" w:rsidRPr="00083B55" w:rsidRDefault="00564D2C">
          <w:pPr>
            <w:pStyle w:val="TDC1"/>
            <w:tabs>
              <w:tab w:val="left" w:pos="440"/>
              <w:tab w:val="right" w:leader="dot" w:pos="8828"/>
            </w:tabs>
            <w:rPr>
              <w:rFonts w:ascii="Arial" w:eastAsiaTheme="minorEastAsia" w:hAnsi="Arial" w:cs="Arial"/>
              <w:noProof/>
              <w:lang w:eastAsia="es-CR"/>
            </w:rPr>
          </w:pPr>
          <w:hyperlink w:anchor="_Toc119920110" w:history="1">
            <w:r w:rsidR="008A604A" w:rsidRPr="00083B55">
              <w:rPr>
                <w:rStyle w:val="Hipervnculo"/>
                <w:rFonts w:ascii="Arial" w:hAnsi="Arial" w:cs="Arial"/>
                <w:b/>
                <w:noProof/>
              </w:rPr>
              <w:t>3.</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CONCLUSIÓN</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_Toc119920110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12</w:t>
            </w:r>
            <w:r w:rsidR="008A604A" w:rsidRPr="00083B55">
              <w:rPr>
                <w:rFonts w:ascii="Arial" w:hAnsi="Arial" w:cs="Arial"/>
                <w:noProof/>
                <w:webHidden/>
              </w:rPr>
              <w:fldChar w:fldCharType="end"/>
            </w:r>
          </w:hyperlink>
        </w:p>
        <w:p w14:paraId="7D9F3DE5" w14:textId="6E605187" w:rsidR="008A604A" w:rsidRPr="00083B55" w:rsidRDefault="00564D2C">
          <w:pPr>
            <w:pStyle w:val="TDC1"/>
            <w:tabs>
              <w:tab w:val="left" w:pos="440"/>
              <w:tab w:val="right" w:leader="dot" w:pos="8828"/>
            </w:tabs>
            <w:rPr>
              <w:rFonts w:ascii="Arial" w:eastAsiaTheme="minorEastAsia" w:hAnsi="Arial" w:cs="Arial"/>
              <w:noProof/>
              <w:lang w:eastAsia="es-CR"/>
            </w:rPr>
          </w:pPr>
          <w:hyperlink w:anchor="_Toc119920111" w:history="1">
            <w:r w:rsidR="008A604A" w:rsidRPr="00083B55">
              <w:rPr>
                <w:rStyle w:val="Hipervnculo"/>
                <w:rFonts w:ascii="Arial" w:hAnsi="Arial" w:cs="Arial"/>
                <w:b/>
                <w:bCs/>
                <w:noProof/>
                <w:kern w:val="28"/>
                <w:lang w:eastAsia="es-ES"/>
              </w:rPr>
              <w:t>4.</w:t>
            </w:r>
            <w:r w:rsidR="008A604A" w:rsidRPr="00083B55">
              <w:rPr>
                <w:rFonts w:ascii="Arial" w:eastAsiaTheme="minorEastAsia" w:hAnsi="Arial" w:cs="Arial"/>
                <w:noProof/>
                <w:lang w:eastAsia="es-CR"/>
              </w:rPr>
              <w:tab/>
            </w:r>
            <w:r w:rsidR="008A604A" w:rsidRPr="00083B55">
              <w:rPr>
                <w:rStyle w:val="Hipervnculo"/>
                <w:rFonts w:ascii="Arial" w:hAnsi="Arial" w:cs="Arial"/>
                <w:b/>
                <w:bCs/>
                <w:noProof/>
                <w:kern w:val="28"/>
                <w:lang w:eastAsia="es-ES"/>
              </w:rPr>
              <w:t>RECOMENDACIONES</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_Toc119920111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13</w:t>
            </w:r>
            <w:r w:rsidR="008A604A" w:rsidRPr="00083B55">
              <w:rPr>
                <w:rFonts w:ascii="Arial" w:hAnsi="Arial" w:cs="Arial"/>
                <w:noProof/>
                <w:webHidden/>
              </w:rPr>
              <w:fldChar w:fldCharType="end"/>
            </w:r>
          </w:hyperlink>
        </w:p>
        <w:p w14:paraId="611683D5" w14:textId="16189016" w:rsidR="008A604A" w:rsidRPr="00083B55" w:rsidRDefault="00564D2C">
          <w:pPr>
            <w:pStyle w:val="TDC1"/>
            <w:tabs>
              <w:tab w:val="right" w:leader="dot" w:pos="8828"/>
            </w:tabs>
            <w:rPr>
              <w:rFonts w:ascii="Arial" w:eastAsiaTheme="minorEastAsia" w:hAnsi="Arial" w:cs="Arial"/>
              <w:noProof/>
              <w:lang w:eastAsia="es-CR"/>
            </w:rPr>
          </w:pPr>
          <w:hyperlink w:anchor="_Toc119920112" w:history="1">
            <w:r w:rsidR="008A604A" w:rsidRPr="00083B55">
              <w:rPr>
                <w:rStyle w:val="Hipervnculo"/>
                <w:rFonts w:ascii="Arial" w:hAnsi="Arial" w:cs="Arial"/>
                <w:b/>
                <w:bCs/>
                <w:noProof/>
                <w:kern w:val="28"/>
                <w:lang w:eastAsia="es-ES"/>
              </w:rPr>
              <w:t>ANEXO N°1</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_Toc119920112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16</w:t>
            </w:r>
            <w:r w:rsidR="008A604A" w:rsidRPr="00083B55">
              <w:rPr>
                <w:rFonts w:ascii="Arial" w:hAnsi="Arial" w:cs="Arial"/>
                <w:noProof/>
                <w:webHidden/>
              </w:rPr>
              <w:fldChar w:fldCharType="end"/>
            </w:r>
          </w:hyperlink>
        </w:p>
        <w:p w14:paraId="37CC7625" w14:textId="3DA91461" w:rsidR="008A604A" w:rsidRPr="00083B55" w:rsidRDefault="00564D2C">
          <w:pPr>
            <w:pStyle w:val="TDC1"/>
            <w:tabs>
              <w:tab w:val="right" w:leader="dot" w:pos="8828"/>
            </w:tabs>
            <w:rPr>
              <w:rFonts w:ascii="Arial" w:eastAsiaTheme="minorEastAsia" w:hAnsi="Arial" w:cs="Arial"/>
              <w:noProof/>
              <w:lang w:eastAsia="es-CR"/>
            </w:rPr>
          </w:pPr>
          <w:hyperlink w:anchor="_Toc119920113" w:history="1">
            <w:r w:rsidR="008A604A" w:rsidRPr="00083B55">
              <w:rPr>
                <w:rStyle w:val="Hipervnculo"/>
                <w:rFonts w:ascii="Arial" w:hAnsi="Arial" w:cs="Arial"/>
                <w:b/>
                <w:bCs/>
                <w:noProof/>
                <w:kern w:val="28"/>
                <w:lang w:eastAsia="es-ES"/>
              </w:rPr>
              <w:t>ANEXO N°2</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_Toc119920113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17</w:t>
            </w:r>
            <w:r w:rsidR="008A604A" w:rsidRPr="00083B55">
              <w:rPr>
                <w:rFonts w:ascii="Arial" w:hAnsi="Arial" w:cs="Arial"/>
                <w:noProof/>
                <w:webHidden/>
              </w:rPr>
              <w:fldChar w:fldCharType="end"/>
            </w:r>
          </w:hyperlink>
        </w:p>
        <w:p w14:paraId="39DD3545" w14:textId="2FBAAA9C" w:rsidR="008A604A" w:rsidRPr="00083B55" w:rsidRDefault="00564D2C">
          <w:pPr>
            <w:pStyle w:val="TDC1"/>
            <w:tabs>
              <w:tab w:val="right" w:leader="dot" w:pos="8828"/>
            </w:tabs>
            <w:rPr>
              <w:rFonts w:ascii="Arial" w:eastAsiaTheme="minorEastAsia" w:hAnsi="Arial" w:cs="Arial"/>
              <w:noProof/>
              <w:lang w:eastAsia="es-CR"/>
            </w:rPr>
          </w:pPr>
          <w:hyperlink w:anchor="_Toc119920114" w:history="1">
            <w:r w:rsidR="008A604A" w:rsidRPr="00083B55">
              <w:rPr>
                <w:rStyle w:val="Hipervnculo"/>
                <w:rFonts w:ascii="Arial" w:hAnsi="Arial" w:cs="Arial"/>
                <w:b/>
                <w:bCs/>
                <w:noProof/>
                <w:kern w:val="28"/>
                <w:lang w:eastAsia="es-ES"/>
              </w:rPr>
              <w:t>ANEXO N°3</w:t>
            </w:r>
            <w:r w:rsidR="008A604A" w:rsidRPr="00083B55">
              <w:rPr>
                <w:rFonts w:ascii="Arial" w:hAnsi="Arial" w:cs="Arial"/>
                <w:noProof/>
                <w:webHidden/>
              </w:rPr>
              <w:tab/>
            </w:r>
            <w:r w:rsidR="008A604A" w:rsidRPr="00083B55">
              <w:rPr>
                <w:rFonts w:ascii="Arial" w:hAnsi="Arial" w:cs="Arial"/>
                <w:noProof/>
                <w:webHidden/>
              </w:rPr>
              <w:fldChar w:fldCharType="begin"/>
            </w:r>
            <w:r w:rsidR="008A604A" w:rsidRPr="00083B55">
              <w:rPr>
                <w:rFonts w:ascii="Arial" w:hAnsi="Arial" w:cs="Arial"/>
                <w:noProof/>
                <w:webHidden/>
              </w:rPr>
              <w:instrText xml:space="preserve"> PAGEREF _Toc119920114 \h </w:instrText>
            </w:r>
            <w:r w:rsidR="008A604A" w:rsidRPr="00083B55">
              <w:rPr>
                <w:rFonts w:ascii="Arial" w:hAnsi="Arial" w:cs="Arial"/>
                <w:noProof/>
                <w:webHidden/>
              </w:rPr>
            </w:r>
            <w:r w:rsidR="008A604A" w:rsidRPr="00083B55">
              <w:rPr>
                <w:rFonts w:ascii="Arial" w:hAnsi="Arial" w:cs="Arial"/>
                <w:noProof/>
                <w:webHidden/>
              </w:rPr>
              <w:fldChar w:fldCharType="separate"/>
            </w:r>
            <w:r>
              <w:rPr>
                <w:rFonts w:ascii="Arial" w:hAnsi="Arial" w:cs="Arial"/>
                <w:noProof/>
                <w:webHidden/>
              </w:rPr>
              <w:t>20</w:t>
            </w:r>
            <w:r w:rsidR="008A604A" w:rsidRPr="00083B55">
              <w:rPr>
                <w:rFonts w:ascii="Arial" w:hAnsi="Arial" w:cs="Arial"/>
                <w:noProof/>
                <w:webHidden/>
              </w:rPr>
              <w:fldChar w:fldCharType="end"/>
            </w:r>
          </w:hyperlink>
        </w:p>
        <w:p w14:paraId="76516B02" w14:textId="77777777" w:rsidR="00AE0FB8" w:rsidRPr="00973E6B" w:rsidRDefault="00AE0FB8">
          <w:pPr>
            <w:rPr>
              <w:rFonts w:ascii="Arial" w:hAnsi="Arial" w:cs="Arial"/>
              <w:b/>
            </w:rPr>
          </w:pPr>
          <w:r w:rsidRPr="00973E6B">
            <w:rPr>
              <w:rFonts w:ascii="Arial" w:hAnsi="Arial" w:cs="Arial"/>
              <w:b/>
              <w:bCs/>
              <w:lang w:val="es-ES"/>
            </w:rPr>
            <w:fldChar w:fldCharType="end"/>
          </w:r>
        </w:p>
      </w:sdtContent>
    </w:sdt>
    <w:p w14:paraId="2C832EDA" w14:textId="77777777" w:rsidR="0055222A" w:rsidRPr="00973E6B" w:rsidRDefault="0055222A" w:rsidP="0043627B">
      <w:pPr>
        <w:spacing w:after="0" w:line="276" w:lineRule="auto"/>
        <w:rPr>
          <w:rFonts w:ascii="Arial" w:hAnsi="Arial" w:cs="Arial"/>
          <w:b/>
          <w:color w:val="44546A" w:themeColor="text2"/>
          <w:sz w:val="24"/>
          <w:szCs w:val="24"/>
        </w:rPr>
      </w:pPr>
      <w:r w:rsidRPr="00973E6B">
        <w:rPr>
          <w:rFonts w:ascii="Arial" w:hAnsi="Arial" w:cs="Arial"/>
          <w:b/>
          <w:color w:val="44546A" w:themeColor="text2"/>
          <w:sz w:val="24"/>
          <w:szCs w:val="24"/>
        </w:rPr>
        <w:br w:type="page"/>
      </w:r>
    </w:p>
    <w:p w14:paraId="3FA9363D" w14:textId="77777777" w:rsidR="0055222A" w:rsidRPr="0043627B" w:rsidRDefault="0055222A" w:rsidP="0043627B">
      <w:pPr>
        <w:spacing w:after="0" w:line="276" w:lineRule="auto"/>
        <w:rPr>
          <w:rFonts w:ascii="Arial" w:hAnsi="Arial" w:cs="Arial"/>
          <w:b/>
          <w:color w:val="44546A" w:themeColor="text2"/>
          <w:sz w:val="24"/>
          <w:szCs w:val="24"/>
        </w:rPr>
      </w:pPr>
    </w:p>
    <w:p w14:paraId="5992A238" w14:textId="77777777" w:rsidR="001817E0" w:rsidRDefault="001817E0" w:rsidP="0043627B">
      <w:pPr>
        <w:spacing w:after="0" w:line="276" w:lineRule="auto"/>
        <w:jc w:val="center"/>
        <w:rPr>
          <w:rFonts w:ascii="Arial" w:hAnsi="Arial" w:cs="Arial"/>
          <w:b/>
          <w:color w:val="44546A" w:themeColor="text2"/>
        </w:rPr>
      </w:pPr>
    </w:p>
    <w:p w14:paraId="696612F0" w14:textId="77777777" w:rsidR="0055222A" w:rsidRPr="00762F8C" w:rsidRDefault="0055222A" w:rsidP="0043627B">
      <w:pPr>
        <w:spacing w:after="0" w:line="276" w:lineRule="auto"/>
        <w:jc w:val="center"/>
        <w:rPr>
          <w:rFonts w:ascii="Arial" w:hAnsi="Arial" w:cs="Arial"/>
          <w:b/>
          <w:sz w:val="28"/>
          <w:szCs w:val="28"/>
        </w:rPr>
      </w:pPr>
      <w:r w:rsidRPr="00762F8C">
        <w:rPr>
          <w:rFonts w:ascii="Arial" w:hAnsi="Arial" w:cs="Arial"/>
          <w:b/>
          <w:color w:val="44546A" w:themeColor="text2"/>
          <w:sz w:val="28"/>
          <w:szCs w:val="28"/>
        </w:rPr>
        <w:t>RESUMEN EJECUTIVO</w:t>
      </w:r>
      <w:bookmarkEnd w:id="4"/>
      <w:bookmarkEnd w:id="3"/>
    </w:p>
    <w:p w14:paraId="0BF15DCD" w14:textId="77777777" w:rsidR="0055222A" w:rsidRPr="00762F8C" w:rsidRDefault="0055222A" w:rsidP="0043627B">
      <w:pPr>
        <w:spacing w:after="0" w:line="276" w:lineRule="auto"/>
        <w:rPr>
          <w:rFonts w:ascii="Arial" w:hAnsi="Arial" w:cs="Arial"/>
          <w:sz w:val="28"/>
          <w:szCs w:val="28"/>
        </w:rPr>
      </w:pPr>
    </w:p>
    <w:p w14:paraId="45A8486E" w14:textId="77777777" w:rsidR="0055222A" w:rsidRPr="00762F8C" w:rsidRDefault="0055222A" w:rsidP="0043627B">
      <w:pPr>
        <w:spacing w:after="0" w:line="276" w:lineRule="auto"/>
        <w:contextualSpacing/>
        <w:rPr>
          <w:rFonts w:ascii="Arial" w:hAnsi="Arial" w:cs="Arial"/>
          <w:b/>
          <w:color w:val="44546A" w:themeColor="text2"/>
          <w:sz w:val="24"/>
          <w:szCs w:val="24"/>
        </w:rPr>
      </w:pPr>
      <w:r w:rsidRPr="00762F8C">
        <w:rPr>
          <w:rFonts w:ascii="Arial" w:hAnsi="Arial" w:cs="Arial"/>
          <w:b/>
          <w:color w:val="44546A" w:themeColor="text2"/>
          <w:sz w:val="24"/>
          <w:szCs w:val="24"/>
        </w:rPr>
        <w:t>¿QUÉ EXAMINAMOS?</w:t>
      </w:r>
    </w:p>
    <w:p w14:paraId="63EF7E53" w14:textId="77777777" w:rsidR="0055222A" w:rsidRPr="000F39E3" w:rsidRDefault="0055222A" w:rsidP="0043627B">
      <w:pPr>
        <w:spacing w:after="0" w:line="276" w:lineRule="auto"/>
        <w:contextualSpacing/>
        <w:rPr>
          <w:rFonts w:ascii="Arial" w:hAnsi="Arial" w:cs="Arial"/>
          <w:szCs w:val="24"/>
        </w:rPr>
      </w:pPr>
    </w:p>
    <w:p w14:paraId="75CE123C" w14:textId="77777777" w:rsidR="0055222A" w:rsidRPr="00762F8C" w:rsidRDefault="005408D9" w:rsidP="00BB0731">
      <w:pPr>
        <w:spacing w:after="0" w:line="276" w:lineRule="auto"/>
        <w:contextualSpacing/>
        <w:jc w:val="both"/>
        <w:rPr>
          <w:rFonts w:ascii="Arial" w:hAnsi="Arial" w:cs="Arial"/>
        </w:rPr>
      </w:pPr>
      <w:r w:rsidRPr="00762F8C">
        <w:rPr>
          <w:rFonts w:ascii="Arial" w:hAnsi="Arial" w:cs="Arial"/>
        </w:rPr>
        <w:t xml:space="preserve">La presente </w:t>
      </w:r>
      <w:r w:rsidR="000717BA">
        <w:rPr>
          <w:rFonts w:ascii="Arial" w:hAnsi="Arial" w:cs="Arial"/>
        </w:rPr>
        <w:t>a</w:t>
      </w:r>
      <w:r w:rsidRPr="00762F8C">
        <w:rPr>
          <w:rFonts w:ascii="Arial" w:hAnsi="Arial" w:cs="Arial"/>
        </w:rPr>
        <w:t xml:space="preserve">uditoría tiene como propósito </w:t>
      </w:r>
      <w:r w:rsidR="00812811">
        <w:rPr>
          <w:rFonts w:ascii="Arial" w:hAnsi="Arial" w:cs="Arial"/>
        </w:rPr>
        <w:t>v</w:t>
      </w:r>
      <w:r w:rsidR="0099154B" w:rsidRPr="0099154B">
        <w:rPr>
          <w:rFonts w:ascii="Arial" w:hAnsi="Arial" w:cs="Arial"/>
        </w:rPr>
        <w:t>erificar el cumplimiento por parte de la División de Adeudos Estatales de la Dirección General de Hacienda de las recomendaciones emitidas por la Auditoría Interna relacionadas con cobro judicial</w:t>
      </w:r>
      <w:r w:rsidR="00EB007D">
        <w:rPr>
          <w:rFonts w:ascii="Arial" w:hAnsi="Arial" w:cs="Arial"/>
        </w:rPr>
        <w:t xml:space="preserve">, </w:t>
      </w:r>
      <w:r w:rsidR="00BB0731" w:rsidRPr="00762F8C">
        <w:rPr>
          <w:rFonts w:ascii="Arial" w:hAnsi="Arial" w:cs="Arial"/>
        </w:rPr>
        <w:t>correspondientes a 8 informes emitidos por la Auditoría Interna en el período 2012-2018.</w:t>
      </w:r>
    </w:p>
    <w:p w14:paraId="7D9E9110" w14:textId="77777777" w:rsidR="00BB0731" w:rsidRPr="00762F8C" w:rsidRDefault="00BB0731" w:rsidP="00BB0731">
      <w:pPr>
        <w:spacing w:after="0" w:line="276" w:lineRule="auto"/>
        <w:contextualSpacing/>
        <w:jc w:val="both"/>
        <w:rPr>
          <w:rFonts w:ascii="Arial" w:hAnsi="Arial" w:cs="Arial"/>
        </w:rPr>
      </w:pPr>
    </w:p>
    <w:p w14:paraId="47300A06" w14:textId="77777777" w:rsidR="0055222A" w:rsidRPr="001817E0" w:rsidRDefault="0055222A" w:rsidP="00BB0731">
      <w:pPr>
        <w:spacing w:after="0" w:line="276" w:lineRule="auto"/>
        <w:contextualSpacing/>
        <w:jc w:val="both"/>
        <w:rPr>
          <w:rFonts w:ascii="Arial" w:hAnsi="Arial" w:cs="Arial"/>
          <w:sz w:val="24"/>
          <w:szCs w:val="24"/>
        </w:rPr>
      </w:pPr>
    </w:p>
    <w:p w14:paraId="18FD61B9" w14:textId="77777777" w:rsidR="0055222A" w:rsidRPr="00762F8C" w:rsidRDefault="0055222A" w:rsidP="0043627B">
      <w:pPr>
        <w:spacing w:after="0" w:line="276" w:lineRule="auto"/>
        <w:contextualSpacing/>
        <w:rPr>
          <w:rFonts w:ascii="Arial" w:hAnsi="Arial" w:cs="Arial"/>
          <w:b/>
          <w:color w:val="44546A" w:themeColor="text2"/>
          <w:sz w:val="24"/>
          <w:szCs w:val="24"/>
        </w:rPr>
      </w:pPr>
      <w:r w:rsidRPr="00762F8C">
        <w:rPr>
          <w:rFonts w:ascii="Arial" w:hAnsi="Arial" w:cs="Arial"/>
          <w:b/>
          <w:color w:val="44546A" w:themeColor="text2"/>
          <w:sz w:val="24"/>
          <w:szCs w:val="24"/>
        </w:rPr>
        <w:t>¿POR QUÉ ES IMPORTANTE?</w:t>
      </w:r>
    </w:p>
    <w:p w14:paraId="4B9AAC01" w14:textId="77777777" w:rsidR="0055222A" w:rsidRPr="000F39E3" w:rsidRDefault="0055222A" w:rsidP="0043627B">
      <w:pPr>
        <w:spacing w:after="0" w:line="276" w:lineRule="auto"/>
        <w:contextualSpacing/>
        <w:rPr>
          <w:rFonts w:ascii="Arial" w:hAnsi="Arial" w:cs="Arial"/>
          <w:szCs w:val="24"/>
        </w:rPr>
      </w:pPr>
    </w:p>
    <w:p w14:paraId="07C58C3E" w14:textId="77777777" w:rsidR="00B326E8" w:rsidRPr="00775276" w:rsidRDefault="00566884" w:rsidP="00566884">
      <w:pPr>
        <w:spacing w:after="0" w:line="276" w:lineRule="auto"/>
        <w:contextualSpacing/>
        <w:jc w:val="both"/>
        <w:rPr>
          <w:rFonts w:ascii="Arial" w:hAnsi="Arial" w:cs="Arial"/>
          <w:szCs w:val="24"/>
        </w:rPr>
      </w:pPr>
      <w:r w:rsidRPr="00775276">
        <w:rPr>
          <w:rFonts w:ascii="Arial" w:hAnsi="Arial" w:cs="Arial"/>
          <w:szCs w:val="24"/>
        </w:rPr>
        <w:t xml:space="preserve">El Decreto 34323 del 15 de noviembre 2007 (Manual para la Atención de los Informes de la Contraloría General de la República y de la Dirección General de Auditoría Interna en el Ministerio de Hacienda), el </w:t>
      </w:r>
      <w:r w:rsidR="00224221" w:rsidRPr="00775276">
        <w:rPr>
          <w:rFonts w:ascii="Arial" w:hAnsi="Arial" w:cs="Arial"/>
          <w:szCs w:val="24"/>
        </w:rPr>
        <w:t>a</w:t>
      </w:r>
      <w:r w:rsidRPr="00775276">
        <w:rPr>
          <w:rFonts w:ascii="Arial" w:hAnsi="Arial" w:cs="Arial"/>
          <w:szCs w:val="24"/>
        </w:rPr>
        <w:t xml:space="preserve">rtículo No. 5 establece el proceso a seguir por parte de la Dirección de Auditoría Interna en relación al seguimiento de las disposiciones y/o recomendaciones. Dentro del programa anual, la Auditoría Interna contempla el seguimiento a las disposiciones y recomendaciones con el fin de velar para que las debilidades determinadas en los informes hayan sido debidamente atendidas y evitar la materialización de los riesgos reportados. </w:t>
      </w:r>
    </w:p>
    <w:p w14:paraId="40A1CCE3" w14:textId="77777777" w:rsidR="0055222A" w:rsidRDefault="0055222A" w:rsidP="0043627B">
      <w:pPr>
        <w:spacing w:after="0" w:line="276" w:lineRule="auto"/>
        <w:contextualSpacing/>
        <w:rPr>
          <w:rFonts w:ascii="Arial" w:hAnsi="Arial" w:cs="Arial"/>
          <w:b/>
          <w:sz w:val="24"/>
          <w:szCs w:val="24"/>
        </w:rPr>
      </w:pPr>
    </w:p>
    <w:p w14:paraId="1A3DFA4E" w14:textId="77777777" w:rsidR="00B41FC7" w:rsidRPr="00701CBA" w:rsidRDefault="00B41FC7" w:rsidP="00701CBA">
      <w:pPr>
        <w:spacing w:after="0" w:line="276" w:lineRule="auto"/>
        <w:contextualSpacing/>
        <w:jc w:val="both"/>
        <w:rPr>
          <w:rFonts w:ascii="Arial" w:hAnsi="Arial" w:cs="Arial"/>
          <w:szCs w:val="24"/>
        </w:rPr>
      </w:pPr>
      <w:r w:rsidRPr="00701CBA">
        <w:rPr>
          <w:rFonts w:ascii="Arial" w:hAnsi="Arial" w:cs="Arial"/>
          <w:szCs w:val="24"/>
        </w:rPr>
        <w:t>Además, se identificó que se mantenían pendientes de cumplimiento un total de 42 recomendaciones, pertenecientes a ocho informes que fueron emitidos por la Auditoría Interna en el periodo comprendido entre los años 2012 y 2018.</w:t>
      </w:r>
    </w:p>
    <w:p w14:paraId="56B85402" w14:textId="77777777" w:rsidR="00B41FC7" w:rsidRPr="001817E0" w:rsidRDefault="00B41FC7" w:rsidP="0043627B">
      <w:pPr>
        <w:spacing w:after="0" w:line="276" w:lineRule="auto"/>
        <w:contextualSpacing/>
        <w:rPr>
          <w:rFonts w:ascii="Arial" w:hAnsi="Arial" w:cs="Arial"/>
          <w:b/>
          <w:sz w:val="24"/>
          <w:szCs w:val="24"/>
        </w:rPr>
      </w:pPr>
    </w:p>
    <w:p w14:paraId="787BAA1D" w14:textId="77777777" w:rsidR="0055222A" w:rsidRPr="001817E0" w:rsidRDefault="0055222A" w:rsidP="0043627B">
      <w:pPr>
        <w:spacing w:after="0" w:line="276" w:lineRule="auto"/>
        <w:contextualSpacing/>
        <w:rPr>
          <w:rFonts w:ascii="Arial" w:hAnsi="Arial" w:cs="Arial"/>
          <w:b/>
          <w:color w:val="44546A" w:themeColor="text2"/>
          <w:sz w:val="24"/>
          <w:szCs w:val="24"/>
        </w:rPr>
      </w:pPr>
      <w:r w:rsidRPr="001817E0">
        <w:rPr>
          <w:rFonts w:ascii="Arial" w:hAnsi="Arial" w:cs="Arial"/>
          <w:b/>
          <w:color w:val="44546A" w:themeColor="text2"/>
          <w:sz w:val="24"/>
          <w:szCs w:val="24"/>
        </w:rPr>
        <w:t>¿QUÉ ENCONTRAMOS?</w:t>
      </w:r>
    </w:p>
    <w:p w14:paraId="3B3A0F20" w14:textId="77777777" w:rsidR="0055222A" w:rsidRPr="00C61187" w:rsidRDefault="0055222A" w:rsidP="0043627B">
      <w:pPr>
        <w:spacing w:after="0" w:line="276" w:lineRule="auto"/>
        <w:contextualSpacing/>
        <w:rPr>
          <w:rFonts w:ascii="Arial" w:hAnsi="Arial" w:cs="Arial"/>
          <w:szCs w:val="24"/>
        </w:rPr>
      </w:pPr>
    </w:p>
    <w:p w14:paraId="3D630A61" w14:textId="77777777" w:rsidR="00404850" w:rsidRDefault="00404850" w:rsidP="00E63460">
      <w:pPr>
        <w:spacing w:after="0" w:line="276" w:lineRule="auto"/>
        <w:contextualSpacing/>
        <w:jc w:val="both"/>
        <w:rPr>
          <w:rFonts w:ascii="Arial" w:hAnsi="Arial" w:cs="Arial"/>
        </w:rPr>
      </w:pPr>
      <w:r>
        <w:rPr>
          <w:rFonts w:ascii="Arial" w:hAnsi="Arial" w:cs="Arial"/>
        </w:rPr>
        <w:t xml:space="preserve">La </w:t>
      </w:r>
      <w:r w:rsidRPr="00762F8C">
        <w:rPr>
          <w:rFonts w:ascii="Arial" w:hAnsi="Arial" w:cs="Arial"/>
        </w:rPr>
        <w:t>Auditoría Interna</w:t>
      </w:r>
      <w:r>
        <w:rPr>
          <w:rFonts w:ascii="Arial" w:hAnsi="Arial" w:cs="Arial"/>
        </w:rPr>
        <w:t xml:space="preserve"> emitió en el periodo comprendido entre los años 2012 y 2018, ocho informes que contenían </w:t>
      </w:r>
      <w:r w:rsidRPr="00762F8C">
        <w:rPr>
          <w:rFonts w:ascii="Arial" w:hAnsi="Arial" w:cs="Arial"/>
        </w:rPr>
        <w:t xml:space="preserve">un total de </w:t>
      </w:r>
      <w:r w:rsidR="009B4857">
        <w:rPr>
          <w:rFonts w:ascii="Arial" w:hAnsi="Arial" w:cs="Arial"/>
        </w:rPr>
        <w:t xml:space="preserve">62 </w:t>
      </w:r>
      <w:r w:rsidRPr="00762F8C">
        <w:rPr>
          <w:rFonts w:ascii="Arial" w:hAnsi="Arial" w:cs="Arial"/>
        </w:rPr>
        <w:t>recomendaciones</w:t>
      </w:r>
      <w:r>
        <w:rPr>
          <w:rFonts w:ascii="Arial" w:hAnsi="Arial" w:cs="Arial"/>
        </w:rPr>
        <w:t xml:space="preserve">, que debían ser atendidas específicamente por la </w:t>
      </w:r>
      <w:r w:rsidRPr="00762F8C">
        <w:rPr>
          <w:rFonts w:ascii="Arial" w:hAnsi="Arial" w:cs="Arial"/>
        </w:rPr>
        <w:t>División de Adeudos Estatales</w:t>
      </w:r>
      <w:r>
        <w:rPr>
          <w:rFonts w:ascii="Arial" w:hAnsi="Arial" w:cs="Arial"/>
        </w:rPr>
        <w:t xml:space="preserve">.  </w:t>
      </w:r>
    </w:p>
    <w:p w14:paraId="1B91F738" w14:textId="77777777" w:rsidR="00404850" w:rsidRDefault="00404850" w:rsidP="00E63460">
      <w:pPr>
        <w:spacing w:after="0" w:line="276" w:lineRule="auto"/>
        <w:contextualSpacing/>
        <w:jc w:val="both"/>
        <w:rPr>
          <w:rFonts w:ascii="Arial" w:hAnsi="Arial" w:cs="Arial"/>
        </w:rPr>
      </w:pPr>
    </w:p>
    <w:p w14:paraId="49C5D9DD" w14:textId="77777777" w:rsidR="0075265E" w:rsidRDefault="0075265E" w:rsidP="0075265E">
      <w:pPr>
        <w:spacing w:after="0" w:line="276" w:lineRule="auto"/>
        <w:contextualSpacing/>
        <w:jc w:val="both"/>
        <w:rPr>
          <w:rFonts w:ascii="Arial" w:hAnsi="Arial" w:cs="Arial"/>
        </w:rPr>
      </w:pPr>
      <w:bookmarkStart w:id="5" w:name="_Hlk119069696"/>
      <w:r w:rsidRPr="004E2449">
        <w:rPr>
          <w:rFonts w:ascii="Arial" w:hAnsi="Arial" w:cs="Arial"/>
        </w:rPr>
        <w:t xml:space="preserve">Al inicio de este estudio, de estas 62 recomendaciones, se encontraban pendientes de cumplimiento 42 recomendaciones.  Una vez requerida y analizada la información de cada tema, se determinó el cumplimiento de 20 recomendaciones, </w:t>
      </w:r>
      <w:r w:rsidR="00CA5BBC" w:rsidRPr="004E2449">
        <w:rPr>
          <w:rFonts w:ascii="Arial" w:hAnsi="Arial" w:cs="Arial"/>
        </w:rPr>
        <w:t>y 5 recomendaciones se dejaron sin efecto</w:t>
      </w:r>
      <w:r w:rsidR="00EB007D">
        <w:rPr>
          <w:rFonts w:ascii="Arial" w:hAnsi="Arial" w:cs="Arial"/>
        </w:rPr>
        <w:t>.</w:t>
      </w:r>
    </w:p>
    <w:p w14:paraId="4643C7CE" w14:textId="77777777" w:rsidR="00C43DBB" w:rsidRDefault="00C43DBB" w:rsidP="0075265E">
      <w:pPr>
        <w:spacing w:after="0" w:line="276" w:lineRule="auto"/>
        <w:contextualSpacing/>
        <w:jc w:val="both"/>
        <w:rPr>
          <w:rFonts w:ascii="Arial" w:hAnsi="Arial" w:cs="Arial"/>
        </w:rPr>
      </w:pPr>
    </w:p>
    <w:p w14:paraId="3154FF7B" w14:textId="77777777" w:rsidR="00723E23" w:rsidRPr="00C61187" w:rsidRDefault="00C61187" w:rsidP="00C61187">
      <w:pPr>
        <w:spacing w:after="0" w:line="276" w:lineRule="auto"/>
        <w:contextualSpacing/>
        <w:jc w:val="both"/>
        <w:rPr>
          <w:rFonts w:ascii="Arial" w:hAnsi="Arial" w:cs="Arial"/>
        </w:rPr>
      </w:pPr>
      <w:r>
        <w:rPr>
          <w:rFonts w:ascii="Arial" w:hAnsi="Arial" w:cs="Arial"/>
        </w:rPr>
        <w:t xml:space="preserve">Para las restantes </w:t>
      </w:r>
      <w:r w:rsidR="00C43DBB">
        <w:rPr>
          <w:rFonts w:ascii="Arial" w:hAnsi="Arial" w:cs="Arial"/>
        </w:rPr>
        <w:t>17 recomendaciones,</w:t>
      </w:r>
      <w:r>
        <w:rPr>
          <w:rFonts w:ascii="Arial" w:hAnsi="Arial" w:cs="Arial"/>
        </w:rPr>
        <w:t xml:space="preserve"> se determinó que las debilidades señaladas en su momento, persisten a la fecha.  Los temas que se tratan en estas recomendaciones son </w:t>
      </w:r>
      <w:r w:rsidRPr="00C61187">
        <w:rPr>
          <w:rFonts w:ascii="Arial" w:hAnsi="Arial" w:cs="Arial"/>
        </w:rPr>
        <w:t>la</w:t>
      </w:r>
      <w:r w:rsidR="00723E23" w:rsidRPr="00C61187">
        <w:rPr>
          <w:rFonts w:ascii="Arial" w:hAnsi="Arial" w:cs="Arial"/>
        </w:rPr>
        <w:t xml:space="preserve"> valoración de riesgos </w:t>
      </w:r>
      <w:r w:rsidRPr="00C61187">
        <w:rPr>
          <w:rFonts w:ascii="Arial" w:hAnsi="Arial" w:cs="Arial"/>
        </w:rPr>
        <w:t>del</w:t>
      </w:r>
      <w:r w:rsidR="00723E23" w:rsidRPr="00C61187">
        <w:rPr>
          <w:rFonts w:ascii="Arial" w:hAnsi="Arial" w:cs="Arial"/>
        </w:rPr>
        <w:t xml:space="preserve"> proceso de administración y custodia de la información y </w:t>
      </w:r>
      <w:r w:rsidR="00723E23" w:rsidRPr="00C61187">
        <w:rPr>
          <w:rFonts w:ascii="Arial" w:hAnsi="Arial" w:cs="Arial"/>
        </w:rPr>
        <w:lastRenderedPageBreak/>
        <w:t>documentación en la División de Adeudos</w:t>
      </w:r>
      <w:r w:rsidRPr="00C61187">
        <w:rPr>
          <w:rFonts w:ascii="Arial" w:hAnsi="Arial" w:cs="Arial"/>
        </w:rPr>
        <w:t xml:space="preserve"> Estatales, el re</w:t>
      </w:r>
      <w:r w:rsidR="00723E23" w:rsidRPr="00C61187">
        <w:rPr>
          <w:rFonts w:ascii="Arial" w:hAnsi="Arial" w:cs="Arial"/>
        </w:rPr>
        <w:t>gistro de inventario de expedientes en custodia, asignados y devueltos</w:t>
      </w:r>
      <w:r w:rsidRPr="00C61187">
        <w:rPr>
          <w:rFonts w:ascii="Arial" w:hAnsi="Arial" w:cs="Arial"/>
        </w:rPr>
        <w:t xml:space="preserve">, </w:t>
      </w:r>
      <w:r w:rsidR="00723E23" w:rsidRPr="00C61187">
        <w:rPr>
          <w:rFonts w:ascii="Arial" w:hAnsi="Arial" w:cs="Arial"/>
        </w:rPr>
        <w:t>la identificación de los expedientes tanto en el sistema electrónico como el lugar específico en el archivo documental</w:t>
      </w:r>
      <w:r w:rsidRPr="00C61187">
        <w:rPr>
          <w:rFonts w:ascii="Arial" w:hAnsi="Arial" w:cs="Arial"/>
        </w:rPr>
        <w:t>, la c</w:t>
      </w:r>
      <w:r w:rsidR="00723E23" w:rsidRPr="00C61187">
        <w:rPr>
          <w:rFonts w:ascii="Arial" w:hAnsi="Arial" w:cs="Arial"/>
        </w:rPr>
        <w:t>oordinación con el Archivo Institucional</w:t>
      </w:r>
      <w:r w:rsidRPr="00C61187">
        <w:rPr>
          <w:rFonts w:ascii="Arial" w:hAnsi="Arial" w:cs="Arial"/>
        </w:rPr>
        <w:t>, la definición del proceso</w:t>
      </w:r>
      <w:r w:rsidR="00723E23" w:rsidRPr="00C61187">
        <w:rPr>
          <w:rFonts w:ascii="Arial" w:hAnsi="Arial" w:cs="Arial"/>
        </w:rPr>
        <w:t xml:space="preserve"> del sistema de información manual y automatizado</w:t>
      </w:r>
      <w:r w:rsidRPr="00C61187">
        <w:rPr>
          <w:rFonts w:ascii="Arial" w:hAnsi="Arial" w:cs="Arial"/>
        </w:rPr>
        <w:t xml:space="preserve"> y el i</w:t>
      </w:r>
      <w:r w:rsidR="00723E23" w:rsidRPr="00C61187">
        <w:rPr>
          <w:rFonts w:ascii="Arial" w:hAnsi="Arial" w:cs="Arial"/>
        </w:rPr>
        <w:t>nforme final en relación al estado de los 1468 expedientes no localizados y consignados como improcedentes y los 1282 expedientes no localizados.</w:t>
      </w:r>
    </w:p>
    <w:bookmarkEnd w:id="5"/>
    <w:p w14:paraId="24D9DCC4" w14:textId="77777777" w:rsidR="0055222A" w:rsidRDefault="0055222A" w:rsidP="0043627B">
      <w:pPr>
        <w:spacing w:after="0" w:line="276" w:lineRule="auto"/>
        <w:contextualSpacing/>
        <w:rPr>
          <w:rFonts w:ascii="Arial" w:hAnsi="Arial" w:cs="Arial"/>
          <w:sz w:val="24"/>
          <w:szCs w:val="24"/>
        </w:rPr>
      </w:pPr>
    </w:p>
    <w:p w14:paraId="54F6FED4" w14:textId="77777777" w:rsidR="0055222A" w:rsidRPr="00762F8C" w:rsidRDefault="0055222A" w:rsidP="0043627B">
      <w:pPr>
        <w:spacing w:after="0" w:line="276" w:lineRule="auto"/>
        <w:contextualSpacing/>
        <w:rPr>
          <w:rFonts w:ascii="Arial" w:hAnsi="Arial" w:cs="Arial"/>
          <w:b/>
          <w:color w:val="44546A" w:themeColor="text2"/>
          <w:sz w:val="28"/>
          <w:szCs w:val="28"/>
        </w:rPr>
      </w:pPr>
      <w:r w:rsidRPr="00762F8C">
        <w:rPr>
          <w:rFonts w:ascii="Arial" w:hAnsi="Arial" w:cs="Arial"/>
          <w:b/>
          <w:color w:val="44546A" w:themeColor="text2"/>
          <w:sz w:val="28"/>
          <w:szCs w:val="28"/>
        </w:rPr>
        <w:t>¿QUÉ SIGUE?</w:t>
      </w:r>
    </w:p>
    <w:p w14:paraId="229AEAA0" w14:textId="77777777" w:rsidR="0055222A" w:rsidRPr="0043627B" w:rsidRDefault="0055222A" w:rsidP="0043627B">
      <w:pPr>
        <w:spacing w:after="0" w:line="276" w:lineRule="auto"/>
        <w:contextualSpacing/>
        <w:rPr>
          <w:rFonts w:ascii="Arial" w:hAnsi="Arial" w:cs="Arial"/>
          <w:sz w:val="24"/>
          <w:szCs w:val="24"/>
        </w:rPr>
      </w:pPr>
    </w:p>
    <w:p w14:paraId="2C27CD46" w14:textId="77777777" w:rsidR="00873A1B" w:rsidRPr="00762F8C" w:rsidRDefault="00EE1A56" w:rsidP="006A086F">
      <w:pPr>
        <w:spacing w:after="0" w:line="276" w:lineRule="auto"/>
        <w:contextualSpacing/>
        <w:jc w:val="both"/>
        <w:rPr>
          <w:rFonts w:ascii="Arial" w:hAnsi="Arial" w:cs="Arial"/>
        </w:rPr>
      </w:pPr>
      <w:bookmarkStart w:id="6" w:name="_Hlk116394002"/>
      <w:r w:rsidRPr="00762F8C">
        <w:rPr>
          <w:rFonts w:ascii="Arial" w:hAnsi="Arial" w:cs="Arial"/>
        </w:rPr>
        <w:t>Se giran recomendaciones a la Dirección General de Hacienda con el fin de</w:t>
      </w:r>
      <w:r w:rsidR="00DF600F" w:rsidRPr="00762F8C">
        <w:rPr>
          <w:rFonts w:ascii="Arial" w:hAnsi="Arial" w:cs="Arial"/>
        </w:rPr>
        <w:t xml:space="preserve"> que, en el proceso de mejora continua, se </w:t>
      </w:r>
      <w:r w:rsidR="006A086F">
        <w:rPr>
          <w:rFonts w:ascii="Arial" w:hAnsi="Arial" w:cs="Arial"/>
        </w:rPr>
        <w:t xml:space="preserve">realice </w:t>
      </w:r>
      <w:bookmarkStart w:id="7" w:name="_Hlk118464338"/>
      <w:r w:rsidR="006A086F">
        <w:rPr>
          <w:rFonts w:ascii="Arial" w:hAnsi="Arial" w:cs="Arial"/>
        </w:rPr>
        <w:t>l</w:t>
      </w:r>
      <w:r w:rsidR="001074B4">
        <w:rPr>
          <w:rFonts w:ascii="Arial" w:hAnsi="Arial" w:cs="Arial"/>
        </w:rPr>
        <w:t>a valoración de riesgos del proceso de administración de expedientes, que permita determinar las acciones a seguir para que la información sea controlada y se minimice el riesgo de deterioro y de pérdida de información</w:t>
      </w:r>
      <w:r w:rsidR="006A086F">
        <w:rPr>
          <w:rFonts w:ascii="Arial" w:hAnsi="Arial" w:cs="Arial"/>
        </w:rPr>
        <w:t>; se disponga de</w:t>
      </w:r>
      <w:r w:rsidR="001074B4">
        <w:rPr>
          <w:rFonts w:ascii="Arial" w:hAnsi="Arial" w:cs="Arial"/>
        </w:rPr>
        <w:t xml:space="preserve"> un procedimiento y su respectivo diagrama del proceso de cobro judicial</w:t>
      </w:r>
      <w:r w:rsidR="002A30CD">
        <w:rPr>
          <w:rFonts w:ascii="Arial" w:hAnsi="Arial" w:cs="Arial"/>
        </w:rPr>
        <w:t xml:space="preserve"> y </w:t>
      </w:r>
      <w:r w:rsidR="006A086F">
        <w:rPr>
          <w:rFonts w:ascii="Arial" w:hAnsi="Arial" w:cs="Arial"/>
        </w:rPr>
        <w:t xml:space="preserve">se </w:t>
      </w:r>
      <w:r w:rsidR="002A30CD">
        <w:rPr>
          <w:rFonts w:ascii="Arial" w:hAnsi="Arial" w:cs="Arial"/>
        </w:rPr>
        <w:t>defin</w:t>
      </w:r>
      <w:r w:rsidR="006A086F">
        <w:rPr>
          <w:rFonts w:ascii="Arial" w:hAnsi="Arial" w:cs="Arial"/>
        </w:rPr>
        <w:t xml:space="preserve">an, </w:t>
      </w:r>
      <w:r w:rsidR="001074B4" w:rsidRPr="002A30CD">
        <w:rPr>
          <w:rFonts w:ascii="Arial" w:hAnsi="Arial" w:cs="Arial"/>
        </w:rPr>
        <w:t>en coordinación con la Unidad de Archivo Institucional</w:t>
      </w:r>
      <w:r w:rsidR="006A086F">
        <w:rPr>
          <w:rFonts w:ascii="Arial" w:hAnsi="Arial" w:cs="Arial"/>
        </w:rPr>
        <w:t>,</w:t>
      </w:r>
      <w:r w:rsidR="001074B4" w:rsidRPr="002A30CD">
        <w:rPr>
          <w:rFonts w:ascii="Arial" w:hAnsi="Arial" w:cs="Arial"/>
        </w:rPr>
        <w:t xml:space="preserve"> </w:t>
      </w:r>
      <w:r w:rsidR="002A30CD">
        <w:rPr>
          <w:rFonts w:ascii="Arial" w:hAnsi="Arial" w:cs="Arial"/>
        </w:rPr>
        <w:t>los</w:t>
      </w:r>
      <w:r w:rsidR="001074B4" w:rsidRPr="002A30CD">
        <w:rPr>
          <w:rFonts w:ascii="Arial" w:hAnsi="Arial" w:cs="Arial"/>
        </w:rPr>
        <w:t xml:space="preserve"> controles para la administración de documentos</w:t>
      </w:r>
      <w:r w:rsidR="006A086F">
        <w:rPr>
          <w:rFonts w:ascii="Arial" w:hAnsi="Arial" w:cs="Arial"/>
        </w:rPr>
        <w:t>; y se elabore</w:t>
      </w:r>
      <w:r w:rsidR="006B5505">
        <w:rPr>
          <w:rFonts w:ascii="Arial" w:hAnsi="Arial" w:cs="Arial"/>
        </w:rPr>
        <w:t xml:space="preserve"> </w:t>
      </w:r>
      <w:r w:rsidR="00873A1B" w:rsidRPr="00762F8C">
        <w:rPr>
          <w:rFonts w:ascii="Arial" w:hAnsi="Arial" w:cs="Arial"/>
        </w:rPr>
        <w:t xml:space="preserve">un instructivo para la presentación de un informe técnico contable, en el cual se expliquen con claridad las acciones ejecutadas por el Departamento de Cobro Judicial y los resultados globales e individuales por Dependencia y entidad gubernamental, en relación con la recuperación de la cartera.  </w:t>
      </w:r>
    </w:p>
    <w:p w14:paraId="0DFAC568" w14:textId="77777777" w:rsidR="00A3234A" w:rsidRDefault="00A3234A">
      <w:pPr>
        <w:rPr>
          <w:rFonts w:ascii="Arial" w:eastAsiaTheme="majorEastAsia" w:hAnsi="Arial" w:cs="Arial"/>
          <w:color w:val="17365D"/>
          <w:sz w:val="24"/>
          <w:szCs w:val="24"/>
        </w:rPr>
      </w:pPr>
      <w:bookmarkStart w:id="8" w:name="_Toc390783322"/>
      <w:bookmarkEnd w:id="6"/>
      <w:bookmarkEnd w:id="7"/>
      <w:r>
        <w:rPr>
          <w:rFonts w:ascii="Arial" w:hAnsi="Arial" w:cs="Arial"/>
          <w:color w:val="17365D"/>
          <w:sz w:val="24"/>
          <w:szCs w:val="24"/>
        </w:rPr>
        <w:br w:type="page"/>
      </w:r>
    </w:p>
    <w:p w14:paraId="6873EB7D" w14:textId="77777777" w:rsidR="005274C8" w:rsidRDefault="005274C8" w:rsidP="0043627B">
      <w:pPr>
        <w:pStyle w:val="Ttulo1"/>
        <w:spacing w:before="0" w:after="0" w:line="276" w:lineRule="auto"/>
        <w:contextualSpacing/>
        <w:rPr>
          <w:rFonts w:ascii="Arial" w:hAnsi="Arial" w:cs="Arial"/>
          <w:color w:val="17365D"/>
          <w:sz w:val="24"/>
          <w:szCs w:val="24"/>
        </w:rPr>
      </w:pPr>
    </w:p>
    <w:p w14:paraId="421E09E7" w14:textId="56CC22DC" w:rsidR="0055222A" w:rsidRPr="00846A9B" w:rsidRDefault="0055222A" w:rsidP="00387D65">
      <w:pPr>
        <w:pStyle w:val="Ttulo1"/>
        <w:keepNext w:val="0"/>
        <w:keepLines w:val="0"/>
        <w:numPr>
          <w:ilvl w:val="0"/>
          <w:numId w:val="19"/>
        </w:numPr>
        <w:spacing w:before="0" w:after="0"/>
        <w:ind w:left="470" w:hanging="470"/>
        <w:contextualSpacing/>
        <w:rPr>
          <w:rFonts w:ascii="Arial" w:hAnsi="Arial" w:cs="Arial"/>
          <w:b/>
          <w:bCs/>
          <w:color w:val="44546A" w:themeColor="text2"/>
          <w:kern w:val="28"/>
          <w:sz w:val="28"/>
          <w:szCs w:val="28"/>
          <w:lang w:eastAsia="es-ES"/>
        </w:rPr>
      </w:pPr>
      <w:bookmarkStart w:id="9" w:name="_Toc119920092"/>
      <w:r w:rsidRPr="00846A9B">
        <w:rPr>
          <w:rFonts w:ascii="Arial" w:hAnsi="Arial" w:cs="Arial"/>
          <w:b/>
          <w:bCs/>
          <w:color w:val="44546A" w:themeColor="text2"/>
          <w:kern w:val="28"/>
          <w:sz w:val="28"/>
          <w:szCs w:val="28"/>
          <w:lang w:eastAsia="es-ES"/>
        </w:rPr>
        <w:t>INTRODUCCIÓN</w:t>
      </w:r>
      <w:bookmarkStart w:id="10" w:name="_Toc362603800"/>
      <w:bookmarkStart w:id="11" w:name="_Toc363725346"/>
      <w:bookmarkStart w:id="12" w:name="_Toc289069750"/>
      <w:bookmarkStart w:id="13" w:name="_Toc362603801"/>
      <w:bookmarkStart w:id="14" w:name="_Toc363725347"/>
      <w:bookmarkStart w:id="15" w:name="_Toc362603802"/>
      <w:bookmarkStart w:id="16" w:name="_Toc363725348"/>
      <w:bookmarkEnd w:id="8"/>
      <w:bookmarkEnd w:id="9"/>
      <w:r w:rsidR="007A1910">
        <w:rPr>
          <w:rFonts w:ascii="Arial" w:hAnsi="Arial" w:cs="Arial"/>
          <w:b/>
          <w:bCs/>
          <w:color w:val="44546A" w:themeColor="text2"/>
          <w:kern w:val="28"/>
          <w:sz w:val="28"/>
          <w:szCs w:val="28"/>
          <w:lang w:eastAsia="es-ES"/>
        </w:rPr>
        <w:t>.</w:t>
      </w:r>
    </w:p>
    <w:p w14:paraId="156EC78D" w14:textId="77777777" w:rsidR="0055222A" w:rsidRPr="0080436F" w:rsidRDefault="0055222A" w:rsidP="00387D65">
      <w:pPr>
        <w:spacing w:after="0" w:line="240" w:lineRule="auto"/>
        <w:rPr>
          <w:rFonts w:ascii="Arial" w:hAnsi="Arial" w:cs="Arial"/>
          <w:b/>
          <w:sz w:val="24"/>
          <w:szCs w:val="24"/>
        </w:rPr>
      </w:pPr>
    </w:p>
    <w:p w14:paraId="55EA1D86" w14:textId="5FD031FF" w:rsidR="00846A9B" w:rsidRPr="00E52F90" w:rsidRDefault="00846A9B"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17" w:name="_Toc119920093"/>
      <w:r w:rsidRPr="00846A9B">
        <w:rPr>
          <w:rFonts w:ascii="Arial" w:eastAsiaTheme="minorHAnsi" w:hAnsi="Arial" w:cs="Arial"/>
          <w:b/>
          <w:color w:val="44546A" w:themeColor="text2"/>
          <w:sz w:val="24"/>
          <w:szCs w:val="24"/>
          <w:lang w:val="es-ES_tradnl" w:eastAsia="es-ES"/>
        </w:rPr>
        <w:t>Origen</w:t>
      </w:r>
      <w:bookmarkEnd w:id="17"/>
      <w:r w:rsidR="007A1910">
        <w:rPr>
          <w:rFonts w:ascii="Arial" w:eastAsiaTheme="minorHAnsi" w:hAnsi="Arial" w:cs="Arial"/>
          <w:b/>
          <w:color w:val="44546A" w:themeColor="text2"/>
          <w:sz w:val="24"/>
          <w:szCs w:val="24"/>
          <w:lang w:val="es-ES_tradnl" w:eastAsia="es-ES"/>
        </w:rPr>
        <w:t>.</w:t>
      </w:r>
    </w:p>
    <w:p w14:paraId="117B8B74" w14:textId="77777777" w:rsidR="00E30B95" w:rsidRPr="00846A9B" w:rsidRDefault="00E30B95" w:rsidP="00387D65">
      <w:pPr>
        <w:spacing w:after="0" w:line="240" w:lineRule="auto"/>
        <w:contextualSpacing/>
        <w:jc w:val="both"/>
        <w:rPr>
          <w:rFonts w:ascii="Arial" w:hAnsi="Arial" w:cs="Arial"/>
          <w:szCs w:val="24"/>
        </w:rPr>
      </w:pPr>
    </w:p>
    <w:p w14:paraId="4BA19896" w14:textId="77777777" w:rsidR="0055222A" w:rsidRPr="00762F8C" w:rsidRDefault="0055222A" w:rsidP="00387D65">
      <w:pPr>
        <w:spacing w:after="0" w:line="240" w:lineRule="auto"/>
        <w:contextualSpacing/>
        <w:jc w:val="both"/>
        <w:rPr>
          <w:rFonts w:ascii="Arial" w:hAnsi="Arial" w:cs="Arial"/>
        </w:rPr>
      </w:pPr>
      <w:r w:rsidRPr="00762F8C">
        <w:rPr>
          <w:rFonts w:ascii="Arial" w:hAnsi="Arial" w:cs="Arial"/>
        </w:rPr>
        <w:t xml:space="preserve">El presente estudio se realizó de conformidad con el Plan de Trabajo Anual </w:t>
      </w:r>
      <w:r w:rsidR="006278AA" w:rsidRPr="00762F8C">
        <w:rPr>
          <w:rFonts w:ascii="Arial" w:hAnsi="Arial" w:cs="Arial"/>
        </w:rPr>
        <w:t>2022</w:t>
      </w:r>
      <w:r w:rsidR="00100217" w:rsidRPr="00762F8C">
        <w:rPr>
          <w:rFonts w:ascii="Arial" w:hAnsi="Arial" w:cs="Arial"/>
        </w:rPr>
        <w:t xml:space="preserve"> </w:t>
      </w:r>
      <w:r w:rsidRPr="00762F8C">
        <w:rPr>
          <w:rFonts w:ascii="Arial" w:hAnsi="Arial" w:cs="Arial"/>
        </w:rPr>
        <w:t>de la Auditoría Interna del Ministerio de Hacienda.</w:t>
      </w:r>
    </w:p>
    <w:p w14:paraId="11679C38" w14:textId="77777777" w:rsidR="0055222A" w:rsidRPr="0043627B" w:rsidRDefault="0055222A" w:rsidP="00387D65">
      <w:pPr>
        <w:spacing w:after="0" w:line="240" w:lineRule="auto"/>
        <w:contextualSpacing/>
        <w:rPr>
          <w:rFonts w:ascii="Arial" w:hAnsi="Arial" w:cs="Arial"/>
          <w:sz w:val="24"/>
          <w:szCs w:val="24"/>
        </w:rPr>
      </w:pPr>
    </w:p>
    <w:p w14:paraId="4EE0CF22" w14:textId="511AFB12" w:rsidR="00846A9B" w:rsidRPr="00E52F90" w:rsidRDefault="00846A9B"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18" w:name="_Toc119920094"/>
      <w:bookmarkStart w:id="19" w:name="_Toc390783324"/>
      <w:r w:rsidRPr="0080436F">
        <w:rPr>
          <w:rFonts w:ascii="Arial" w:hAnsi="Arial" w:cs="Arial"/>
          <w:b/>
          <w:color w:val="1F3864" w:themeColor="accent5" w:themeShade="80"/>
          <w:sz w:val="24"/>
          <w:szCs w:val="24"/>
        </w:rPr>
        <w:t>Objetivo del estudio</w:t>
      </w:r>
      <w:bookmarkEnd w:id="18"/>
      <w:r w:rsidR="007A1910">
        <w:rPr>
          <w:rFonts w:ascii="Arial" w:hAnsi="Arial" w:cs="Arial"/>
          <w:b/>
          <w:color w:val="1F3864" w:themeColor="accent5" w:themeShade="80"/>
          <w:sz w:val="24"/>
          <w:szCs w:val="24"/>
        </w:rPr>
        <w:t>.</w:t>
      </w:r>
    </w:p>
    <w:bookmarkEnd w:id="19"/>
    <w:p w14:paraId="21772D6F" w14:textId="77777777" w:rsidR="0055222A" w:rsidRPr="00846A9B" w:rsidRDefault="0055222A" w:rsidP="00387D65">
      <w:pPr>
        <w:pStyle w:val="Ttulo2"/>
        <w:keepNext w:val="0"/>
        <w:keepLines w:val="0"/>
        <w:spacing w:before="0"/>
        <w:ind w:right="51"/>
        <w:contextualSpacing/>
        <w:jc w:val="both"/>
        <w:rPr>
          <w:rFonts w:ascii="Arial" w:hAnsi="Arial" w:cs="Arial"/>
          <w:b/>
          <w:color w:val="1F3864" w:themeColor="accent5" w:themeShade="80"/>
          <w:sz w:val="22"/>
          <w:szCs w:val="24"/>
        </w:rPr>
      </w:pPr>
    </w:p>
    <w:p w14:paraId="7416CC3E" w14:textId="77777777" w:rsidR="0055222A" w:rsidRPr="00762F8C" w:rsidRDefault="006278AA" w:rsidP="00387D65">
      <w:pPr>
        <w:spacing w:after="0" w:line="240" w:lineRule="auto"/>
        <w:contextualSpacing/>
        <w:jc w:val="both"/>
        <w:rPr>
          <w:rFonts w:ascii="Arial" w:hAnsi="Arial" w:cs="Arial"/>
        </w:rPr>
      </w:pPr>
      <w:bookmarkStart w:id="20" w:name="_Toc390783325"/>
      <w:r w:rsidRPr="00762F8C">
        <w:rPr>
          <w:rFonts w:ascii="Arial" w:hAnsi="Arial" w:cs="Arial"/>
        </w:rPr>
        <w:t>Verificar el cumplimiento por parte de la División de Adeudos Estatales de la Dirección General de Hacienda de las recomendaciones emitidas por la Auditoría Interna relacionadas con cobro judicial.</w:t>
      </w:r>
    </w:p>
    <w:p w14:paraId="29A66D52" w14:textId="77777777" w:rsidR="00812811" w:rsidRPr="00100217" w:rsidRDefault="00812811" w:rsidP="00387D65">
      <w:pPr>
        <w:spacing w:after="0" w:line="240" w:lineRule="auto"/>
        <w:contextualSpacing/>
        <w:jc w:val="both"/>
        <w:rPr>
          <w:rFonts w:ascii="Arial" w:hAnsi="Arial" w:cs="Arial"/>
          <w:sz w:val="24"/>
        </w:rPr>
      </w:pPr>
    </w:p>
    <w:p w14:paraId="70BCB3EF" w14:textId="78318BAC" w:rsidR="00846A9B" w:rsidRPr="00E52F90" w:rsidRDefault="00846A9B"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21" w:name="_Toc118798808"/>
      <w:bookmarkStart w:id="22" w:name="_Toc119920095"/>
      <w:bookmarkStart w:id="23" w:name="_Toc390783326"/>
      <w:bookmarkEnd w:id="20"/>
      <w:r w:rsidRPr="00E52F90">
        <w:rPr>
          <w:rFonts w:ascii="Arial" w:eastAsiaTheme="minorHAnsi" w:hAnsi="Arial" w:cs="Arial"/>
          <w:b/>
          <w:color w:val="44546A" w:themeColor="text2"/>
          <w:sz w:val="24"/>
          <w:szCs w:val="24"/>
          <w:lang w:val="es-ES_tradnl" w:eastAsia="es-ES"/>
        </w:rPr>
        <w:t>Alcance</w:t>
      </w:r>
      <w:bookmarkEnd w:id="21"/>
      <w:bookmarkEnd w:id="22"/>
      <w:r w:rsidR="007A1910">
        <w:rPr>
          <w:rFonts w:ascii="Arial" w:eastAsiaTheme="minorHAnsi" w:hAnsi="Arial" w:cs="Arial"/>
          <w:b/>
          <w:color w:val="44546A" w:themeColor="text2"/>
          <w:sz w:val="24"/>
          <w:szCs w:val="24"/>
          <w:lang w:val="es-ES_tradnl" w:eastAsia="es-ES"/>
        </w:rPr>
        <w:t>.</w:t>
      </w:r>
    </w:p>
    <w:p w14:paraId="124FCD2A" w14:textId="77777777" w:rsidR="00846A9B" w:rsidRDefault="00846A9B" w:rsidP="00387D65">
      <w:pPr>
        <w:spacing w:after="0" w:line="240" w:lineRule="auto"/>
        <w:jc w:val="both"/>
        <w:rPr>
          <w:rFonts w:ascii="Arial" w:hAnsi="Arial" w:cs="Arial"/>
        </w:rPr>
      </w:pPr>
    </w:p>
    <w:p w14:paraId="1A7E891F" w14:textId="77777777" w:rsidR="000F5573" w:rsidRPr="000F5573" w:rsidRDefault="000F5573" w:rsidP="00387D65">
      <w:pPr>
        <w:autoSpaceDE w:val="0"/>
        <w:autoSpaceDN w:val="0"/>
        <w:adjustRightInd w:val="0"/>
        <w:spacing w:after="0" w:line="240" w:lineRule="auto"/>
        <w:jc w:val="both"/>
        <w:rPr>
          <w:rFonts w:ascii="Arial" w:hAnsi="Arial" w:cs="Arial"/>
          <w:color w:val="000000"/>
        </w:rPr>
      </w:pPr>
      <w:r w:rsidRPr="000F5573">
        <w:rPr>
          <w:rFonts w:ascii="Arial" w:hAnsi="Arial" w:cs="Arial"/>
          <w:color w:val="484529"/>
        </w:rPr>
        <w:t xml:space="preserve">Comprende la validación y el seguimiento de </w:t>
      </w:r>
      <w:r w:rsidR="0075580C">
        <w:rPr>
          <w:rFonts w:ascii="Arial" w:hAnsi="Arial" w:cs="Arial"/>
          <w:color w:val="484529"/>
        </w:rPr>
        <w:t xml:space="preserve">42 </w:t>
      </w:r>
      <w:r w:rsidRPr="000F5573">
        <w:rPr>
          <w:rFonts w:ascii="Arial" w:hAnsi="Arial" w:cs="Arial"/>
          <w:color w:val="484529"/>
        </w:rPr>
        <w:t xml:space="preserve">recomendaciones que se determinaron como pendientes de cumplimiento por parte de la División de Adeudos Estatales contempladas en 8 informes emitidos por la Auditoría Interna en un período que abarca los años del 2012-2018. </w:t>
      </w:r>
    </w:p>
    <w:p w14:paraId="035F1AF8" w14:textId="77777777" w:rsidR="006278AA" w:rsidRDefault="006278AA" w:rsidP="00387D65">
      <w:pPr>
        <w:spacing w:after="0" w:line="240" w:lineRule="auto"/>
        <w:contextualSpacing/>
        <w:jc w:val="both"/>
        <w:rPr>
          <w:rFonts w:ascii="Arial" w:hAnsi="Arial" w:cs="Arial"/>
          <w:sz w:val="24"/>
          <w:szCs w:val="24"/>
        </w:rPr>
      </w:pPr>
    </w:p>
    <w:p w14:paraId="729A521D" w14:textId="77777777" w:rsidR="00812811" w:rsidRPr="00BC2A97" w:rsidRDefault="00812811" w:rsidP="00387D65">
      <w:pPr>
        <w:spacing w:after="0" w:line="240" w:lineRule="auto"/>
        <w:contextualSpacing/>
        <w:jc w:val="both"/>
        <w:rPr>
          <w:rFonts w:ascii="Arial" w:hAnsi="Arial" w:cs="Arial"/>
        </w:rPr>
      </w:pPr>
      <w:r w:rsidRPr="00BC2A97">
        <w:rPr>
          <w:rFonts w:ascii="Arial" w:hAnsi="Arial" w:cs="Arial"/>
        </w:rPr>
        <w:t xml:space="preserve">La enumeración de </w:t>
      </w:r>
      <w:r w:rsidR="00B41FC7" w:rsidRPr="00BC2A97">
        <w:rPr>
          <w:rFonts w:ascii="Arial" w:hAnsi="Arial" w:cs="Arial"/>
        </w:rPr>
        <w:t>los</w:t>
      </w:r>
      <w:r w:rsidRPr="00BC2A97">
        <w:rPr>
          <w:rFonts w:ascii="Arial" w:hAnsi="Arial" w:cs="Arial"/>
        </w:rPr>
        <w:t xml:space="preserve"> 8 informes que mantenían recomendaciones pendientes y se incluyeron como parte del estudio son los siguientes: INF-DGAI-024-2012, DGAI-INF-024-2016, DGAI-INF-002-2017, AI-INF-007-2017, AI-INF-024-2017, AI-INF-025-2017, AI-INF-027-2017 y AI-INF-010-2018.</w:t>
      </w:r>
    </w:p>
    <w:p w14:paraId="254D2151" w14:textId="77777777" w:rsidR="00812811" w:rsidRPr="0043627B" w:rsidRDefault="00812811" w:rsidP="00387D65">
      <w:pPr>
        <w:spacing w:after="0" w:line="240" w:lineRule="auto"/>
        <w:contextualSpacing/>
        <w:jc w:val="both"/>
        <w:rPr>
          <w:rFonts w:ascii="Arial" w:hAnsi="Arial" w:cs="Arial"/>
          <w:sz w:val="24"/>
          <w:szCs w:val="24"/>
        </w:rPr>
      </w:pPr>
    </w:p>
    <w:p w14:paraId="1B03E0CB" w14:textId="21168679" w:rsidR="0055222A" w:rsidRPr="00927F2B" w:rsidRDefault="0055222A"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24" w:name="_Toc119920096"/>
      <w:r w:rsidRPr="00927F2B">
        <w:rPr>
          <w:rFonts w:ascii="Arial" w:eastAsiaTheme="minorHAnsi" w:hAnsi="Arial" w:cs="Arial"/>
          <w:b/>
          <w:color w:val="44546A" w:themeColor="text2"/>
          <w:sz w:val="24"/>
          <w:szCs w:val="24"/>
          <w:lang w:val="es-ES_tradnl" w:eastAsia="es-ES"/>
        </w:rPr>
        <w:t>Criterios de evaluación</w:t>
      </w:r>
      <w:bookmarkEnd w:id="24"/>
      <w:r w:rsidR="007A1910">
        <w:rPr>
          <w:rFonts w:ascii="Arial" w:eastAsiaTheme="minorHAnsi" w:hAnsi="Arial" w:cs="Arial"/>
          <w:b/>
          <w:color w:val="44546A" w:themeColor="text2"/>
          <w:sz w:val="24"/>
          <w:szCs w:val="24"/>
          <w:lang w:val="es-ES_tradnl" w:eastAsia="es-ES"/>
        </w:rPr>
        <w:t>.</w:t>
      </w:r>
    </w:p>
    <w:p w14:paraId="7ED38058" w14:textId="77777777" w:rsidR="00100217" w:rsidRDefault="00100217" w:rsidP="00387D65">
      <w:pPr>
        <w:autoSpaceDE w:val="0"/>
        <w:autoSpaceDN w:val="0"/>
        <w:adjustRightInd w:val="0"/>
        <w:spacing w:after="0" w:line="240" w:lineRule="auto"/>
        <w:contextualSpacing/>
        <w:jc w:val="both"/>
        <w:rPr>
          <w:rFonts w:ascii="Arial" w:eastAsia="Times New Roman" w:hAnsi="Arial" w:cs="Arial"/>
          <w:color w:val="000000"/>
          <w:sz w:val="24"/>
          <w:szCs w:val="24"/>
        </w:rPr>
      </w:pPr>
    </w:p>
    <w:p w14:paraId="12EF9D71" w14:textId="77777777" w:rsidR="0055222A" w:rsidRPr="00762F8C" w:rsidRDefault="0055222A" w:rsidP="00387D65">
      <w:pPr>
        <w:autoSpaceDE w:val="0"/>
        <w:autoSpaceDN w:val="0"/>
        <w:adjustRightInd w:val="0"/>
        <w:spacing w:after="0" w:line="240" w:lineRule="auto"/>
        <w:contextualSpacing/>
        <w:jc w:val="both"/>
        <w:rPr>
          <w:rFonts w:ascii="Arial" w:hAnsi="Arial" w:cs="Arial"/>
        </w:rPr>
      </w:pPr>
      <w:r w:rsidRPr="00762F8C">
        <w:rPr>
          <w:rFonts w:ascii="Arial" w:eastAsia="Times New Roman" w:hAnsi="Arial" w:cs="Arial"/>
          <w:color w:val="000000"/>
        </w:rPr>
        <w:t xml:space="preserve">Los criterios de evaluación </w:t>
      </w:r>
      <w:r w:rsidRPr="00762F8C">
        <w:rPr>
          <w:rFonts w:ascii="Arial" w:hAnsi="Arial" w:cs="Arial"/>
        </w:rPr>
        <w:t xml:space="preserve">fueron comunicados el </w:t>
      </w:r>
      <w:r w:rsidR="002A362F" w:rsidRPr="00762F8C">
        <w:rPr>
          <w:rFonts w:ascii="Arial" w:hAnsi="Arial" w:cs="Arial"/>
        </w:rPr>
        <w:t xml:space="preserve">día 18 de agosto de 2022 </w:t>
      </w:r>
      <w:r w:rsidRPr="00762F8C">
        <w:rPr>
          <w:rFonts w:ascii="Arial" w:hAnsi="Arial" w:cs="Arial"/>
        </w:rPr>
        <w:t>a</w:t>
      </w:r>
      <w:r w:rsidR="002A362F" w:rsidRPr="00762F8C">
        <w:rPr>
          <w:rFonts w:ascii="Arial" w:hAnsi="Arial" w:cs="Arial"/>
        </w:rPr>
        <w:t>l señor Rudolf Lucke Bolaños, Director General de Hacienda.</w:t>
      </w:r>
    </w:p>
    <w:p w14:paraId="0D77BA11" w14:textId="77777777" w:rsidR="0055222A" w:rsidRPr="00762F8C" w:rsidRDefault="0055222A" w:rsidP="00387D65">
      <w:pPr>
        <w:autoSpaceDE w:val="0"/>
        <w:autoSpaceDN w:val="0"/>
        <w:adjustRightInd w:val="0"/>
        <w:spacing w:after="0" w:line="240" w:lineRule="auto"/>
        <w:contextualSpacing/>
        <w:jc w:val="both"/>
        <w:rPr>
          <w:rFonts w:ascii="Arial" w:hAnsi="Arial" w:cs="Arial"/>
        </w:rPr>
      </w:pPr>
    </w:p>
    <w:p w14:paraId="4529D2A0" w14:textId="22AB4F86" w:rsidR="00A3234A" w:rsidRPr="00E52F90" w:rsidRDefault="00A3234A"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25" w:name="_Toc118798811"/>
      <w:bookmarkStart w:id="26" w:name="_Toc119920097"/>
      <w:r w:rsidRPr="00E52F90">
        <w:rPr>
          <w:rFonts w:ascii="Arial" w:eastAsiaTheme="minorHAnsi" w:hAnsi="Arial" w:cs="Arial"/>
          <w:b/>
          <w:color w:val="44546A" w:themeColor="text2"/>
          <w:sz w:val="24"/>
          <w:szCs w:val="24"/>
          <w:lang w:val="es-ES_tradnl" w:eastAsia="es-ES"/>
        </w:rPr>
        <w:t>Metodología aplicada</w:t>
      </w:r>
      <w:bookmarkEnd w:id="25"/>
      <w:bookmarkEnd w:id="26"/>
      <w:r w:rsidR="007A1910">
        <w:rPr>
          <w:rFonts w:ascii="Arial" w:eastAsiaTheme="minorHAnsi" w:hAnsi="Arial" w:cs="Arial"/>
          <w:b/>
          <w:color w:val="44546A" w:themeColor="text2"/>
          <w:sz w:val="24"/>
          <w:szCs w:val="24"/>
          <w:lang w:val="es-ES_tradnl" w:eastAsia="es-ES"/>
        </w:rPr>
        <w:t>.</w:t>
      </w:r>
    </w:p>
    <w:p w14:paraId="708223A8" w14:textId="77777777" w:rsidR="00FE7E57" w:rsidRDefault="00FE7E57" w:rsidP="00387D65">
      <w:pPr>
        <w:autoSpaceDE w:val="0"/>
        <w:autoSpaceDN w:val="0"/>
        <w:adjustRightInd w:val="0"/>
        <w:spacing w:after="0" w:line="240" w:lineRule="auto"/>
        <w:contextualSpacing/>
        <w:jc w:val="both"/>
        <w:rPr>
          <w:rFonts w:ascii="Arial" w:eastAsia="Times New Roman" w:hAnsi="Arial" w:cs="Arial"/>
          <w:color w:val="000000"/>
          <w:sz w:val="24"/>
          <w:szCs w:val="24"/>
        </w:rPr>
      </w:pPr>
    </w:p>
    <w:p w14:paraId="4B9ED493" w14:textId="77777777" w:rsidR="0055222A" w:rsidRDefault="0055222A" w:rsidP="00387D65">
      <w:pPr>
        <w:autoSpaceDE w:val="0"/>
        <w:autoSpaceDN w:val="0"/>
        <w:adjustRightInd w:val="0"/>
        <w:spacing w:after="0" w:line="240" w:lineRule="auto"/>
        <w:contextualSpacing/>
        <w:jc w:val="both"/>
        <w:rPr>
          <w:rFonts w:ascii="Arial" w:hAnsi="Arial" w:cs="Arial"/>
          <w:sz w:val="24"/>
          <w:szCs w:val="24"/>
        </w:rPr>
      </w:pPr>
      <w:r w:rsidRPr="00762F8C">
        <w:rPr>
          <w:rFonts w:ascii="Arial" w:eastAsia="Times New Roman" w:hAnsi="Arial" w:cs="Arial"/>
          <w:color w:val="000000"/>
        </w:rPr>
        <w:t>La auditoría se realizó de conformidad con las Normas Generales de Auditoría para el Sector Público y demás normativa aplicable</w:t>
      </w:r>
      <w:r w:rsidRPr="0043627B">
        <w:rPr>
          <w:rFonts w:ascii="Arial" w:hAnsi="Arial" w:cs="Arial"/>
          <w:sz w:val="24"/>
          <w:szCs w:val="24"/>
        </w:rPr>
        <w:t>.</w:t>
      </w:r>
    </w:p>
    <w:p w14:paraId="274DDEA6" w14:textId="77777777" w:rsidR="00FE7E57" w:rsidRDefault="00FE7E57" w:rsidP="00387D65">
      <w:pPr>
        <w:autoSpaceDE w:val="0"/>
        <w:autoSpaceDN w:val="0"/>
        <w:adjustRightInd w:val="0"/>
        <w:spacing w:after="0" w:line="240" w:lineRule="auto"/>
        <w:contextualSpacing/>
        <w:jc w:val="both"/>
        <w:rPr>
          <w:rFonts w:ascii="Arial" w:hAnsi="Arial" w:cs="Arial"/>
          <w:sz w:val="24"/>
          <w:szCs w:val="24"/>
        </w:rPr>
      </w:pPr>
    </w:p>
    <w:p w14:paraId="71635893" w14:textId="24C4883D" w:rsidR="00A3234A" w:rsidRPr="00E52F90" w:rsidRDefault="00A3234A"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27" w:name="_Toc118798812"/>
      <w:bookmarkStart w:id="28" w:name="_Toc119920098"/>
      <w:r w:rsidRPr="00E52F90">
        <w:rPr>
          <w:rFonts w:ascii="Arial" w:eastAsiaTheme="minorHAnsi" w:hAnsi="Arial" w:cs="Arial"/>
          <w:b/>
          <w:color w:val="44546A" w:themeColor="text2"/>
          <w:sz w:val="24"/>
          <w:szCs w:val="24"/>
          <w:lang w:val="es-ES_tradnl" w:eastAsia="es-ES"/>
        </w:rPr>
        <w:t>Comunicación de resultados</w:t>
      </w:r>
      <w:bookmarkEnd w:id="27"/>
      <w:bookmarkEnd w:id="28"/>
      <w:r w:rsidR="007A1910">
        <w:rPr>
          <w:rFonts w:ascii="Arial" w:eastAsiaTheme="minorHAnsi" w:hAnsi="Arial" w:cs="Arial"/>
          <w:b/>
          <w:color w:val="44546A" w:themeColor="text2"/>
          <w:sz w:val="24"/>
          <w:szCs w:val="24"/>
          <w:lang w:val="es-ES_tradnl" w:eastAsia="es-ES"/>
        </w:rPr>
        <w:t>.</w:t>
      </w:r>
    </w:p>
    <w:p w14:paraId="0B49EA2E" w14:textId="77777777" w:rsidR="00A3234A" w:rsidRPr="0043627B" w:rsidRDefault="00A3234A" w:rsidP="00387D65">
      <w:pPr>
        <w:autoSpaceDE w:val="0"/>
        <w:autoSpaceDN w:val="0"/>
        <w:adjustRightInd w:val="0"/>
        <w:spacing w:after="0" w:line="240" w:lineRule="auto"/>
        <w:contextualSpacing/>
        <w:jc w:val="both"/>
        <w:rPr>
          <w:rFonts w:ascii="Arial" w:hAnsi="Arial" w:cs="Arial"/>
          <w:sz w:val="24"/>
          <w:szCs w:val="24"/>
        </w:rPr>
      </w:pPr>
    </w:p>
    <w:bookmarkEnd w:id="23"/>
    <w:p w14:paraId="5DA13FB6" w14:textId="07D0D584" w:rsidR="00927F2B" w:rsidRDefault="00F63F16" w:rsidP="00387D65">
      <w:pPr>
        <w:autoSpaceDE w:val="0"/>
        <w:autoSpaceDN w:val="0"/>
        <w:adjustRightInd w:val="0"/>
        <w:spacing w:after="0" w:line="240" w:lineRule="auto"/>
        <w:contextualSpacing/>
        <w:jc w:val="both"/>
        <w:rPr>
          <w:rFonts w:ascii="Arial" w:hAnsi="Arial" w:cs="Arial"/>
          <w:color w:val="000000"/>
          <w:szCs w:val="24"/>
        </w:rPr>
      </w:pPr>
      <w:r>
        <w:rPr>
          <w:rFonts w:ascii="Arial" w:hAnsi="Arial" w:cs="Arial"/>
          <w:color w:val="000000"/>
          <w:szCs w:val="24"/>
        </w:rPr>
        <w:t>La comunicación de los resultados, conclusiones y recomendaciones producto de la auditoría, se efectuó el 15 de diciembre del 2022, a los señores Rudolf Lucke Bolaños, Maureen Fuentes Martínez, María Marcela Vargas Gómez, Gisela Víquez Cubero, Vanessa Alvarado Valverde, Steve Carazo Chanto y al señor Martín Cortés Valverde. Las observaciones realizadas por los participantes fueron consignadas en el informe en lo que resultaron procedentes</w:t>
      </w:r>
      <w:r w:rsidRPr="00F63F16">
        <w:rPr>
          <w:rFonts w:ascii="Arial" w:hAnsi="Arial" w:cs="Arial"/>
          <w:b/>
          <w:color w:val="2F5496" w:themeColor="accent5" w:themeShade="BF"/>
          <w:szCs w:val="24"/>
        </w:rPr>
        <w:t xml:space="preserve">. </w:t>
      </w:r>
      <w:r w:rsidRPr="00083B55">
        <w:rPr>
          <w:rFonts w:ascii="Arial" w:hAnsi="Arial" w:cs="Arial"/>
          <w:szCs w:val="24"/>
        </w:rPr>
        <w:t xml:space="preserve">Ver </w:t>
      </w:r>
      <w:r w:rsidR="00083B55">
        <w:rPr>
          <w:rFonts w:ascii="Arial" w:hAnsi="Arial" w:cs="Arial"/>
          <w:szCs w:val="24"/>
        </w:rPr>
        <w:t>A</w:t>
      </w:r>
      <w:r w:rsidRPr="00083B55">
        <w:rPr>
          <w:rFonts w:ascii="Arial" w:hAnsi="Arial" w:cs="Arial"/>
          <w:szCs w:val="24"/>
        </w:rPr>
        <w:t xml:space="preserve">nexo </w:t>
      </w:r>
      <w:r w:rsidR="00083B55">
        <w:rPr>
          <w:rFonts w:ascii="Arial" w:hAnsi="Arial" w:cs="Arial"/>
          <w:szCs w:val="24"/>
        </w:rPr>
        <w:t>N°</w:t>
      </w:r>
      <w:r w:rsidRPr="00083B55">
        <w:rPr>
          <w:rFonts w:ascii="Arial" w:hAnsi="Arial" w:cs="Arial"/>
          <w:szCs w:val="24"/>
        </w:rPr>
        <w:t xml:space="preserve">1. </w:t>
      </w:r>
    </w:p>
    <w:p w14:paraId="0E162188" w14:textId="77777777" w:rsidR="0092410A" w:rsidRDefault="0092410A" w:rsidP="00387D65">
      <w:pPr>
        <w:autoSpaceDE w:val="0"/>
        <w:autoSpaceDN w:val="0"/>
        <w:adjustRightInd w:val="0"/>
        <w:spacing w:after="0" w:line="240" w:lineRule="auto"/>
        <w:contextualSpacing/>
        <w:jc w:val="both"/>
        <w:rPr>
          <w:rFonts w:ascii="Arial" w:hAnsi="Arial" w:cs="Arial"/>
          <w:color w:val="000000"/>
          <w:szCs w:val="24"/>
        </w:rPr>
      </w:pPr>
    </w:p>
    <w:p w14:paraId="02110DEA" w14:textId="77777777" w:rsidR="0092410A" w:rsidRDefault="0092410A" w:rsidP="00387D65">
      <w:pPr>
        <w:autoSpaceDE w:val="0"/>
        <w:autoSpaceDN w:val="0"/>
        <w:adjustRightInd w:val="0"/>
        <w:spacing w:after="0" w:line="240" w:lineRule="auto"/>
        <w:contextualSpacing/>
        <w:jc w:val="both"/>
        <w:rPr>
          <w:rFonts w:ascii="Arial" w:hAnsi="Arial" w:cs="Arial"/>
          <w:color w:val="000000"/>
          <w:szCs w:val="24"/>
        </w:rPr>
      </w:pPr>
    </w:p>
    <w:p w14:paraId="634F83A0" w14:textId="77777777" w:rsidR="0092410A" w:rsidRPr="00B61E07" w:rsidRDefault="0092410A" w:rsidP="00387D65">
      <w:pPr>
        <w:autoSpaceDE w:val="0"/>
        <w:autoSpaceDN w:val="0"/>
        <w:adjustRightInd w:val="0"/>
        <w:spacing w:after="0" w:line="240" w:lineRule="auto"/>
        <w:contextualSpacing/>
        <w:jc w:val="both"/>
        <w:rPr>
          <w:rFonts w:ascii="Arial" w:hAnsi="Arial" w:cs="Arial"/>
          <w:color w:val="000000"/>
          <w:szCs w:val="24"/>
        </w:rPr>
      </w:pPr>
    </w:p>
    <w:p w14:paraId="7C79851D" w14:textId="77777777" w:rsidR="00A3234A" w:rsidRDefault="00A3234A" w:rsidP="00387D65">
      <w:pPr>
        <w:autoSpaceDE w:val="0"/>
        <w:autoSpaceDN w:val="0"/>
        <w:adjustRightInd w:val="0"/>
        <w:spacing w:after="0" w:line="240" w:lineRule="auto"/>
        <w:contextualSpacing/>
        <w:jc w:val="both"/>
        <w:rPr>
          <w:rFonts w:ascii="Arial" w:eastAsia="Times New Roman" w:hAnsi="Arial" w:cs="Arial"/>
          <w:color w:val="538135" w:themeColor="accent6" w:themeShade="BF"/>
          <w:sz w:val="24"/>
          <w:szCs w:val="24"/>
        </w:rPr>
      </w:pPr>
    </w:p>
    <w:p w14:paraId="5CF4A145" w14:textId="7BB33350" w:rsidR="00A3234A" w:rsidRPr="00E52F90" w:rsidRDefault="00A3234A"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29" w:name="_Toc118798813"/>
      <w:bookmarkStart w:id="30" w:name="_Toc119920099"/>
      <w:bookmarkStart w:id="31" w:name="_Toc390783327"/>
      <w:bookmarkEnd w:id="10"/>
      <w:bookmarkEnd w:id="11"/>
      <w:r w:rsidRPr="00E52F90">
        <w:rPr>
          <w:rFonts w:ascii="Arial" w:eastAsiaTheme="minorHAnsi" w:hAnsi="Arial" w:cs="Arial"/>
          <w:b/>
          <w:color w:val="44546A" w:themeColor="text2"/>
          <w:sz w:val="24"/>
          <w:szCs w:val="24"/>
          <w:lang w:val="es-ES_tradnl" w:eastAsia="es-ES"/>
        </w:rPr>
        <w:t>Normativa relacionada con el control interno</w:t>
      </w:r>
      <w:bookmarkEnd w:id="29"/>
      <w:bookmarkEnd w:id="30"/>
      <w:r w:rsidR="007A1910">
        <w:rPr>
          <w:rFonts w:ascii="Arial" w:eastAsiaTheme="minorHAnsi" w:hAnsi="Arial" w:cs="Arial"/>
          <w:b/>
          <w:color w:val="44546A" w:themeColor="text2"/>
          <w:sz w:val="24"/>
          <w:szCs w:val="24"/>
          <w:lang w:val="es-ES_tradnl" w:eastAsia="es-ES"/>
        </w:rPr>
        <w:t>.</w:t>
      </w:r>
    </w:p>
    <w:p w14:paraId="2FDBB819" w14:textId="77777777" w:rsidR="00C015B2" w:rsidRDefault="00C015B2" w:rsidP="00387D65">
      <w:pPr>
        <w:autoSpaceDE w:val="0"/>
        <w:autoSpaceDN w:val="0"/>
        <w:adjustRightInd w:val="0"/>
        <w:spacing w:after="0" w:line="240" w:lineRule="auto"/>
        <w:contextualSpacing/>
        <w:jc w:val="both"/>
        <w:rPr>
          <w:rFonts w:ascii="Arial" w:eastAsia="Times New Roman" w:hAnsi="Arial" w:cs="Arial"/>
          <w:color w:val="000000"/>
          <w:sz w:val="24"/>
          <w:szCs w:val="24"/>
        </w:rPr>
      </w:pPr>
    </w:p>
    <w:bookmarkEnd w:id="12"/>
    <w:bookmarkEnd w:id="13"/>
    <w:bookmarkEnd w:id="14"/>
    <w:bookmarkEnd w:id="31"/>
    <w:p w14:paraId="1B325D5E" w14:textId="77777777" w:rsidR="0061266D" w:rsidRDefault="0061266D" w:rsidP="00387D65">
      <w:pPr>
        <w:autoSpaceDE w:val="0"/>
        <w:autoSpaceDN w:val="0"/>
        <w:adjustRightInd w:val="0"/>
        <w:spacing w:after="0" w:line="240" w:lineRule="auto"/>
        <w:jc w:val="both"/>
        <w:rPr>
          <w:rFonts w:ascii="Arial" w:hAnsi="Arial" w:cs="Arial"/>
          <w:bCs/>
          <w:color w:val="020201"/>
        </w:rPr>
      </w:pPr>
      <w:r w:rsidRPr="00B61E07">
        <w:rPr>
          <w:rFonts w:ascii="Arial" w:eastAsia="Times New Roman" w:hAnsi="Arial" w:cs="Arial"/>
          <w:color w:val="000000"/>
        </w:rPr>
        <w:t xml:space="preserve">Este informe debe tramitarse de acuerdo con los alcances establecidos en la Ley General de Control Interno (Ley N°8292) </w:t>
      </w:r>
      <w:r w:rsidRPr="00B61E07">
        <w:rPr>
          <w:rFonts w:ascii="Arial" w:hAnsi="Arial" w:cs="Arial"/>
          <w:color w:val="000000"/>
        </w:rPr>
        <w:t xml:space="preserve">y el </w:t>
      </w:r>
      <w:r w:rsidRPr="00064C1C">
        <w:rPr>
          <w:rFonts w:ascii="Arial" w:hAnsi="Arial" w:cs="Arial"/>
          <w:bCs/>
          <w:color w:val="020201"/>
        </w:rPr>
        <w:t>Manual para la Atención de los Informes de la Contraloría General de la República e Informes y criterios emitidos por la Auditoría Interna del Ministerio de Hacienda</w:t>
      </w:r>
      <w:r w:rsidR="0092410A">
        <w:rPr>
          <w:rFonts w:ascii="Arial" w:hAnsi="Arial" w:cs="Arial"/>
          <w:bCs/>
          <w:color w:val="020201"/>
        </w:rPr>
        <w:t xml:space="preserve"> </w:t>
      </w:r>
      <w:r>
        <w:rPr>
          <w:rFonts w:ascii="Arial" w:hAnsi="Arial" w:cs="Arial"/>
          <w:bCs/>
          <w:color w:val="020201"/>
        </w:rPr>
        <w:t>(</w:t>
      </w:r>
      <w:r>
        <w:rPr>
          <w:rFonts w:ascii="Arial" w:hAnsi="Arial" w:cs="Arial"/>
        </w:rPr>
        <w:t xml:space="preserve">Decreto </w:t>
      </w:r>
      <w:r w:rsidRPr="00064C1C">
        <w:rPr>
          <w:rFonts w:ascii="Arial" w:hAnsi="Arial" w:cs="Arial"/>
        </w:rPr>
        <w:t>N° 43676 H</w:t>
      </w:r>
      <w:r>
        <w:rPr>
          <w:rFonts w:ascii="Arial" w:hAnsi="Arial" w:cs="Arial"/>
        </w:rPr>
        <w:t>)</w:t>
      </w:r>
      <w:r w:rsidR="0092410A">
        <w:rPr>
          <w:rFonts w:ascii="Arial" w:hAnsi="Arial" w:cs="Arial"/>
        </w:rPr>
        <w:t>.</w:t>
      </w:r>
      <w:r>
        <w:rPr>
          <w:rStyle w:val="Refdenotaalpie"/>
          <w:rFonts w:ascii="Arial" w:hAnsi="Arial" w:cs="Arial"/>
        </w:rPr>
        <w:footnoteReference w:id="1"/>
      </w:r>
    </w:p>
    <w:p w14:paraId="7634A128" w14:textId="77777777" w:rsidR="00C015B2" w:rsidRPr="0080436F" w:rsidRDefault="00C015B2" w:rsidP="00387D65">
      <w:pPr>
        <w:autoSpaceDE w:val="0"/>
        <w:autoSpaceDN w:val="0"/>
        <w:adjustRightInd w:val="0"/>
        <w:spacing w:after="0" w:line="240" w:lineRule="auto"/>
        <w:contextualSpacing/>
        <w:jc w:val="both"/>
        <w:rPr>
          <w:rFonts w:ascii="Arial" w:hAnsi="Arial" w:cs="Arial"/>
          <w:b/>
          <w:sz w:val="24"/>
          <w:szCs w:val="24"/>
        </w:rPr>
      </w:pPr>
    </w:p>
    <w:p w14:paraId="5C177CB5" w14:textId="0D366AFD" w:rsidR="00A3234A" w:rsidRPr="00E52F90" w:rsidRDefault="00A3234A" w:rsidP="00387D65">
      <w:pPr>
        <w:pStyle w:val="Ttulo2"/>
        <w:keepNext w:val="0"/>
        <w:keepLines w:val="0"/>
        <w:numPr>
          <w:ilvl w:val="1"/>
          <w:numId w:val="3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32" w:name="_Toc390783328"/>
      <w:bookmarkStart w:id="33" w:name="_Toc118798814"/>
      <w:bookmarkStart w:id="34" w:name="_Toc119920100"/>
      <w:bookmarkEnd w:id="15"/>
      <w:bookmarkEnd w:id="16"/>
      <w:r w:rsidRPr="00E52F90">
        <w:rPr>
          <w:rFonts w:ascii="Arial" w:eastAsiaTheme="minorHAnsi" w:hAnsi="Arial" w:cs="Arial"/>
          <w:b/>
          <w:color w:val="44546A" w:themeColor="text2"/>
          <w:sz w:val="24"/>
          <w:szCs w:val="24"/>
          <w:lang w:val="es-ES_tradnl" w:eastAsia="es-ES"/>
        </w:rPr>
        <w:t>Generalidades</w:t>
      </w:r>
      <w:bookmarkEnd w:id="32"/>
      <w:bookmarkEnd w:id="33"/>
      <w:bookmarkEnd w:id="34"/>
      <w:r w:rsidR="007A1910">
        <w:rPr>
          <w:rFonts w:ascii="Arial" w:eastAsiaTheme="minorHAnsi" w:hAnsi="Arial" w:cs="Arial"/>
          <w:b/>
          <w:color w:val="44546A" w:themeColor="text2"/>
          <w:sz w:val="24"/>
          <w:szCs w:val="24"/>
          <w:lang w:val="es-ES_tradnl" w:eastAsia="es-ES"/>
        </w:rPr>
        <w:t>.</w:t>
      </w:r>
    </w:p>
    <w:p w14:paraId="0C180B4A" w14:textId="77777777" w:rsidR="009D2D99" w:rsidRPr="00A3234A" w:rsidRDefault="009D2D99" w:rsidP="00387D65">
      <w:pPr>
        <w:autoSpaceDE w:val="0"/>
        <w:autoSpaceDN w:val="0"/>
        <w:adjustRightInd w:val="0"/>
        <w:spacing w:after="0" w:line="240" w:lineRule="auto"/>
        <w:contextualSpacing/>
        <w:jc w:val="both"/>
        <w:rPr>
          <w:rFonts w:ascii="Arial" w:hAnsi="Arial" w:cs="Arial"/>
          <w:lang w:eastAsia="es-CR"/>
        </w:rPr>
      </w:pPr>
    </w:p>
    <w:p w14:paraId="1175E011" w14:textId="77777777" w:rsidR="00B619D7" w:rsidRPr="00762F8C" w:rsidRDefault="00563CBC" w:rsidP="00387D65">
      <w:pPr>
        <w:spacing w:after="0" w:line="240" w:lineRule="auto"/>
        <w:jc w:val="both"/>
        <w:rPr>
          <w:rFonts w:ascii="Arial" w:hAnsi="Arial" w:cs="Arial"/>
          <w:color w:val="000000" w:themeColor="text1"/>
        </w:rPr>
      </w:pPr>
      <w:bookmarkStart w:id="35" w:name="_Toc390783329"/>
      <w:r w:rsidRPr="00762F8C">
        <w:rPr>
          <w:rFonts w:ascii="Arial" w:hAnsi="Arial" w:cs="Arial"/>
          <w:color w:val="000000" w:themeColor="text1"/>
        </w:rPr>
        <w:t>Mediante Ley No. 2393 del 11 de julio de 1959 reformada por Ley 3492 del 29 de enero de 1965, se crea la Oficina de Cobro Judicial como una dependencia de la Dirección General de Hacienda</w:t>
      </w:r>
      <w:r w:rsidR="001B14D0" w:rsidRPr="00762F8C">
        <w:rPr>
          <w:rFonts w:ascii="Arial" w:hAnsi="Arial" w:cs="Arial"/>
          <w:color w:val="000000" w:themeColor="text1"/>
        </w:rPr>
        <w:t>, para el cobro judicial o extrajudicial de los impuestos, tasas, contribuciones, derechos fiscales, rentas por arrendamiento de bienes del Gobierno no sujetos a leyes especiales, y de toda clase de créditos a favor de éste</w:t>
      </w:r>
      <w:r w:rsidR="00B619D7" w:rsidRPr="00762F8C">
        <w:rPr>
          <w:rFonts w:ascii="Arial" w:hAnsi="Arial" w:cs="Arial"/>
          <w:color w:val="000000" w:themeColor="text1"/>
        </w:rPr>
        <w:t xml:space="preserve">. </w:t>
      </w:r>
    </w:p>
    <w:p w14:paraId="722198E8" w14:textId="77777777" w:rsidR="0061266D" w:rsidRDefault="0061266D" w:rsidP="00387D65">
      <w:pPr>
        <w:spacing w:after="0" w:line="240" w:lineRule="auto"/>
        <w:jc w:val="both"/>
        <w:rPr>
          <w:rFonts w:ascii="Arial" w:hAnsi="Arial" w:cs="Arial"/>
          <w:color w:val="000000" w:themeColor="text1"/>
        </w:rPr>
      </w:pPr>
    </w:p>
    <w:p w14:paraId="0DF3E6FC" w14:textId="77777777" w:rsidR="0042779A" w:rsidRDefault="0042779A" w:rsidP="00387D65">
      <w:pPr>
        <w:spacing w:after="0" w:line="240" w:lineRule="auto"/>
        <w:jc w:val="both"/>
        <w:rPr>
          <w:rFonts w:ascii="Arial" w:hAnsi="Arial" w:cs="Arial"/>
          <w:color w:val="000000" w:themeColor="text1"/>
        </w:rPr>
      </w:pPr>
      <w:r w:rsidRPr="0042779A">
        <w:rPr>
          <w:rFonts w:ascii="Arial" w:hAnsi="Arial" w:cs="Arial"/>
          <w:color w:val="000000" w:themeColor="text1"/>
        </w:rPr>
        <w:t>El Decreto 34323 del 15 de noviembre 2007 (Manual para la Atención de los Informes de la Contraloría General de la República y de la Dirección General de Auditoría Interna en el Ministerio de Hacienda), el artículo No. 5 establece el proceso a seguir por parte de la Dirección de Auditoría Interna en relación al seguimiento de las disposiciones y/o recomendaciones. Dentro del programa anual, la Auditoría Interna contempla el seguimiento a las disposiciones y recomendaciones con el fin de velar para que las debilidades determinadas en los informes hayan sido debidamente atendidas y evitar la materialización de los riesgos reportados.</w:t>
      </w:r>
    </w:p>
    <w:p w14:paraId="60F0F7D5" w14:textId="77777777" w:rsidR="0042779A" w:rsidRDefault="0042779A" w:rsidP="00387D65">
      <w:pPr>
        <w:spacing w:after="0" w:line="240" w:lineRule="auto"/>
        <w:jc w:val="both"/>
        <w:rPr>
          <w:rFonts w:ascii="Arial" w:hAnsi="Arial" w:cs="Arial"/>
          <w:color w:val="000000" w:themeColor="text1"/>
        </w:rPr>
      </w:pPr>
    </w:p>
    <w:p w14:paraId="17609F9E" w14:textId="77777777" w:rsidR="00B619D7" w:rsidRPr="00762F8C" w:rsidRDefault="00B619D7" w:rsidP="00387D65">
      <w:pPr>
        <w:spacing w:after="0" w:line="240" w:lineRule="auto"/>
        <w:jc w:val="both"/>
        <w:rPr>
          <w:rFonts w:ascii="Arial" w:hAnsi="Arial" w:cs="Arial"/>
          <w:color w:val="000000" w:themeColor="text1"/>
        </w:rPr>
      </w:pPr>
      <w:r w:rsidRPr="00762F8C">
        <w:rPr>
          <w:rFonts w:ascii="Arial" w:hAnsi="Arial" w:cs="Arial"/>
          <w:color w:val="000000" w:themeColor="text1"/>
        </w:rPr>
        <w:t xml:space="preserve">La Auditoría Interna consideró dentro del Plan de Trabajo Anual 2022, la verificación de los razonamientos por los cuales existe un considerable </w:t>
      </w:r>
      <w:r w:rsidR="0061266D">
        <w:rPr>
          <w:rFonts w:ascii="Arial" w:hAnsi="Arial" w:cs="Arial"/>
          <w:color w:val="000000" w:themeColor="text1"/>
        </w:rPr>
        <w:t>atraso en el c</w:t>
      </w:r>
      <w:r w:rsidRPr="00762F8C">
        <w:rPr>
          <w:rFonts w:ascii="Arial" w:hAnsi="Arial" w:cs="Arial"/>
          <w:color w:val="000000" w:themeColor="text1"/>
        </w:rPr>
        <w:t>umplimiento en las recomendaciones</w:t>
      </w:r>
      <w:r w:rsidR="0092410A">
        <w:rPr>
          <w:rFonts w:ascii="Arial" w:hAnsi="Arial" w:cs="Arial"/>
          <w:color w:val="000000" w:themeColor="text1"/>
        </w:rPr>
        <w:t xml:space="preserve"> relacionadas con Cobro Judicial,</w:t>
      </w:r>
      <w:r w:rsidRPr="00762F8C">
        <w:rPr>
          <w:rFonts w:ascii="Arial" w:hAnsi="Arial" w:cs="Arial"/>
          <w:color w:val="000000" w:themeColor="text1"/>
        </w:rPr>
        <w:t xml:space="preserve"> emitidas en los informes dirigidos a la Dirección General de Hacienda, en los últimos años.</w:t>
      </w:r>
    </w:p>
    <w:p w14:paraId="70D81FD3" w14:textId="77777777" w:rsidR="0061266D" w:rsidRDefault="0061266D" w:rsidP="00387D65">
      <w:pPr>
        <w:spacing w:after="0" w:line="240" w:lineRule="auto"/>
        <w:jc w:val="both"/>
        <w:rPr>
          <w:rFonts w:ascii="Arial" w:hAnsi="Arial" w:cs="Arial"/>
          <w:color w:val="000000" w:themeColor="text1"/>
        </w:rPr>
      </w:pPr>
    </w:p>
    <w:p w14:paraId="2E49E108" w14:textId="77777777" w:rsidR="00A02016" w:rsidRPr="00762F8C" w:rsidRDefault="00B619D7" w:rsidP="00387D65">
      <w:pPr>
        <w:spacing w:after="0" w:line="240" w:lineRule="auto"/>
        <w:jc w:val="both"/>
        <w:rPr>
          <w:rFonts w:ascii="Arial" w:hAnsi="Arial" w:cs="Arial"/>
          <w:color w:val="000000" w:themeColor="text1"/>
        </w:rPr>
      </w:pPr>
      <w:r w:rsidRPr="00762F8C">
        <w:rPr>
          <w:rFonts w:ascii="Arial" w:hAnsi="Arial" w:cs="Arial"/>
          <w:color w:val="000000" w:themeColor="text1"/>
        </w:rPr>
        <w:t>Se identific</w:t>
      </w:r>
      <w:r w:rsidR="0061266D">
        <w:rPr>
          <w:rFonts w:ascii="Arial" w:hAnsi="Arial" w:cs="Arial"/>
          <w:color w:val="000000" w:themeColor="text1"/>
        </w:rPr>
        <w:t>ó</w:t>
      </w:r>
      <w:r w:rsidRPr="00762F8C">
        <w:rPr>
          <w:rFonts w:ascii="Arial" w:hAnsi="Arial" w:cs="Arial"/>
          <w:color w:val="000000" w:themeColor="text1"/>
        </w:rPr>
        <w:t xml:space="preserve"> que se mantenían pendientes de cumplimiento un total de 42 recomendaciones</w:t>
      </w:r>
      <w:r w:rsidR="0061266D">
        <w:rPr>
          <w:rFonts w:ascii="Arial" w:hAnsi="Arial" w:cs="Arial"/>
          <w:color w:val="000000" w:themeColor="text1"/>
        </w:rPr>
        <w:t xml:space="preserve">, pertenecientes a </w:t>
      </w:r>
      <w:r w:rsidR="0092410A">
        <w:rPr>
          <w:rFonts w:ascii="Arial" w:hAnsi="Arial" w:cs="Arial"/>
          <w:color w:val="000000" w:themeColor="text1"/>
        </w:rPr>
        <w:t>ocho</w:t>
      </w:r>
      <w:r w:rsidRPr="00762F8C">
        <w:rPr>
          <w:rFonts w:ascii="Arial" w:hAnsi="Arial" w:cs="Arial"/>
          <w:color w:val="000000" w:themeColor="text1"/>
        </w:rPr>
        <w:t xml:space="preserve"> informes que fueron emitidos por la Auditoría Interna en el periodo </w:t>
      </w:r>
      <w:r w:rsidR="0092410A">
        <w:rPr>
          <w:rFonts w:ascii="Arial" w:hAnsi="Arial" w:cs="Arial"/>
          <w:color w:val="000000" w:themeColor="text1"/>
        </w:rPr>
        <w:t xml:space="preserve">comprendido entre los años </w:t>
      </w:r>
      <w:r w:rsidRPr="00762F8C">
        <w:rPr>
          <w:rFonts w:ascii="Arial" w:hAnsi="Arial" w:cs="Arial"/>
          <w:color w:val="000000" w:themeColor="text1"/>
        </w:rPr>
        <w:t>2012</w:t>
      </w:r>
      <w:r w:rsidR="0092410A">
        <w:rPr>
          <w:rFonts w:ascii="Arial" w:hAnsi="Arial" w:cs="Arial"/>
          <w:color w:val="000000" w:themeColor="text1"/>
        </w:rPr>
        <w:t xml:space="preserve"> y </w:t>
      </w:r>
      <w:r w:rsidRPr="00762F8C">
        <w:rPr>
          <w:rFonts w:ascii="Arial" w:hAnsi="Arial" w:cs="Arial"/>
          <w:color w:val="000000" w:themeColor="text1"/>
        </w:rPr>
        <w:t>2018</w:t>
      </w:r>
      <w:r w:rsidR="00A02016" w:rsidRPr="00762F8C">
        <w:rPr>
          <w:rFonts w:ascii="Arial" w:hAnsi="Arial" w:cs="Arial"/>
          <w:color w:val="000000" w:themeColor="text1"/>
        </w:rPr>
        <w:t>.</w:t>
      </w:r>
    </w:p>
    <w:p w14:paraId="634AC1A7" w14:textId="77777777" w:rsidR="00767EB4" w:rsidRDefault="00767EB4" w:rsidP="00387D65">
      <w:pPr>
        <w:spacing w:after="0" w:line="240" w:lineRule="auto"/>
        <w:jc w:val="right"/>
        <w:rPr>
          <w:rFonts w:ascii="Arial" w:hAnsi="Arial" w:cs="Arial"/>
          <w:color w:val="000000" w:themeColor="text1"/>
        </w:rPr>
      </w:pPr>
    </w:p>
    <w:p w14:paraId="45F40407" w14:textId="77777777" w:rsidR="00A02016" w:rsidRPr="00762F8C" w:rsidRDefault="00A02016" w:rsidP="00387D65">
      <w:pPr>
        <w:spacing w:after="0" w:line="240" w:lineRule="auto"/>
        <w:jc w:val="both"/>
        <w:rPr>
          <w:rFonts w:ascii="Arial" w:hAnsi="Arial" w:cs="Arial"/>
          <w:color w:val="000000" w:themeColor="text1"/>
        </w:rPr>
      </w:pPr>
      <w:r w:rsidRPr="00762F8C">
        <w:rPr>
          <w:rFonts w:ascii="Arial" w:hAnsi="Arial" w:cs="Arial"/>
          <w:color w:val="000000" w:themeColor="text1"/>
        </w:rPr>
        <w:t xml:space="preserve">Las recomendaciones pendientes </w:t>
      </w:r>
      <w:r w:rsidR="00D91ADD">
        <w:rPr>
          <w:rFonts w:ascii="Arial" w:hAnsi="Arial" w:cs="Arial"/>
          <w:color w:val="000000" w:themeColor="text1"/>
        </w:rPr>
        <w:t>se presentan en el Gráfico N°1</w:t>
      </w:r>
      <w:r w:rsidRPr="00762F8C">
        <w:rPr>
          <w:rFonts w:ascii="Arial" w:hAnsi="Arial" w:cs="Arial"/>
          <w:color w:val="000000" w:themeColor="text1"/>
        </w:rPr>
        <w:t xml:space="preserve">: </w:t>
      </w:r>
    </w:p>
    <w:p w14:paraId="3D4B4AA6" w14:textId="77777777" w:rsidR="005836B1" w:rsidRDefault="005836B1" w:rsidP="00387D65">
      <w:pPr>
        <w:pStyle w:val="Ttulo1"/>
        <w:spacing w:before="0" w:after="0"/>
        <w:contextualSpacing/>
        <w:rPr>
          <w:rFonts w:ascii="Arial" w:hAnsi="Arial" w:cs="Arial"/>
          <w:color w:val="17365D"/>
          <w:sz w:val="24"/>
          <w:szCs w:val="24"/>
        </w:rPr>
      </w:pPr>
    </w:p>
    <w:p w14:paraId="0C7B8E6F" w14:textId="77777777" w:rsidR="00224221" w:rsidRPr="00224221" w:rsidRDefault="00224221" w:rsidP="00387D65">
      <w:pPr>
        <w:spacing w:after="0" w:line="240" w:lineRule="auto"/>
      </w:pPr>
      <w:r>
        <w:rPr>
          <w:noProof/>
        </w:rPr>
        <w:drawing>
          <wp:inline distT="0" distB="0" distL="0" distR="0" wp14:anchorId="00B87CD2" wp14:editId="40993B10">
            <wp:extent cx="5820410" cy="2690446"/>
            <wp:effectExtent l="0" t="0" r="8890" b="15240"/>
            <wp:docPr id="1" name="Gráfico 1">
              <a:extLst xmlns:a="http://schemas.openxmlformats.org/drawingml/2006/main">
                <a:ext uri="{FF2B5EF4-FFF2-40B4-BE49-F238E27FC236}">
                  <a16:creationId xmlns:a16="http://schemas.microsoft.com/office/drawing/2014/main" id="{8B760EE6-8862-47A7-B79A-BB30ED687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1400C7" w14:textId="77777777" w:rsidR="005836B1" w:rsidRPr="004F0FE8" w:rsidRDefault="00224221" w:rsidP="00387D65">
      <w:pPr>
        <w:spacing w:after="0" w:line="240" w:lineRule="auto"/>
        <w:rPr>
          <w:rFonts w:ascii="Arial" w:hAnsi="Arial" w:cs="Arial"/>
          <w:sz w:val="18"/>
          <w:szCs w:val="20"/>
        </w:rPr>
      </w:pPr>
      <w:r w:rsidRPr="004F0FE8">
        <w:rPr>
          <w:rFonts w:ascii="Arial" w:hAnsi="Arial" w:cs="Arial"/>
          <w:b/>
          <w:sz w:val="18"/>
          <w:szCs w:val="20"/>
        </w:rPr>
        <w:t>Fuente:</w:t>
      </w:r>
      <w:r w:rsidRPr="004F0FE8">
        <w:rPr>
          <w:rFonts w:ascii="Arial" w:hAnsi="Arial" w:cs="Arial"/>
          <w:sz w:val="18"/>
          <w:szCs w:val="20"/>
        </w:rPr>
        <w:t xml:space="preserve"> </w:t>
      </w:r>
      <w:r w:rsidR="00D91ADD" w:rsidRPr="004F0FE8">
        <w:rPr>
          <w:rFonts w:ascii="Arial" w:hAnsi="Arial" w:cs="Arial"/>
          <w:sz w:val="18"/>
          <w:szCs w:val="20"/>
        </w:rPr>
        <w:t xml:space="preserve">Elaboración propia con datos de Programa de Seguimiento de </w:t>
      </w:r>
      <w:r w:rsidR="005C4DAD" w:rsidRPr="004F0FE8">
        <w:rPr>
          <w:rFonts w:ascii="Arial" w:hAnsi="Arial" w:cs="Arial"/>
          <w:sz w:val="18"/>
          <w:szCs w:val="20"/>
        </w:rPr>
        <w:t>Recomendaciones</w:t>
      </w:r>
      <w:r w:rsidR="00D91ADD" w:rsidRPr="004F0FE8">
        <w:rPr>
          <w:rFonts w:ascii="Arial" w:hAnsi="Arial" w:cs="Arial"/>
          <w:sz w:val="18"/>
          <w:szCs w:val="20"/>
        </w:rPr>
        <w:t xml:space="preserve"> de los informes de la Auditoría Interna del Ministerio de Hacienda, </w:t>
      </w:r>
      <w:r w:rsidR="009817E9">
        <w:rPr>
          <w:rFonts w:ascii="Arial" w:hAnsi="Arial" w:cs="Arial"/>
          <w:sz w:val="18"/>
          <w:szCs w:val="20"/>
        </w:rPr>
        <w:t xml:space="preserve">a mayo de </w:t>
      </w:r>
      <w:r w:rsidR="00D91ADD" w:rsidRPr="004F0FE8">
        <w:rPr>
          <w:rFonts w:ascii="Arial" w:hAnsi="Arial" w:cs="Arial"/>
          <w:sz w:val="18"/>
          <w:szCs w:val="20"/>
        </w:rPr>
        <w:t>2022</w:t>
      </w:r>
      <w:r w:rsidR="00927F2B" w:rsidRPr="004F0FE8">
        <w:rPr>
          <w:rFonts w:ascii="Arial" w:hAnsi="Arial" w:cs="Arial"/>
          <w:sz w:val="18"/>
          <w:szCs w:val="20"/>
        </w:rPr>
        <w:t>.</w:t>
      </w:r>
    </w:p>
    <w:p w14:paraId="496EC4EF" w14:textId="77777777" w:rsidR="00927F2B" w:rsidRDefault="00927F2B" w:rsidP="00387D65">
      <w:pPr>
        <w:spacing w:after="0" w:line="240" w:lineRule="auto"/>
        <w:rPr>
          <w:rFonts w:ascii="Arial" w:hAnsi="Arial" w:cs="Arial"/>
          <w:sz w:val="20"/>
          <w:szCs w:val="20"/>
        </w:rPr>
      </w:pPr>
    </w:p>
    <w:p w14:paraId="3985DB5E" w14:textId="77777777" w:rsidR="009817E9" w:rsidRDefault="009817E9" w:rsidP="00387D65">
      <w:pPr>
        <w:spacing w:after="0" w:line="240" w:lineRule="auto"/>
        <w:rPr>
          <w:rFonts w:ascii="Arial" w:hAnsi="Arial" w:cs="Arial"/>
          <w:sz w:val="20"/>
          <w:szCs w:val="20"/>
        </w:rPr>
      </w:pPr>
    </w:p>
    <w:p w14:paraId="5F3D771E" w14:textId="77777777" w:rsidR="00A3234A" w:rsidRPr="00E52F90" w:rsidRDefault="00A3234A" w:rsidP="00387D65">
      <w:pPr>
        <w:pStyle w:val="Ttulo1"/>
        <w:keepNext w:val="0"/>
        <w:keepLines w:val="0"/>
        <w:numPr>
          <w:ilvl w:val="0"/>
          <w:numId w:val="19"/>
        </w:numPr>
        <w:spacing w:before="0" w:after="0"/>
        <w:ind w:left="470" w:hanging="470"/>
        <w:contextualSpacing/>
        <w:rPr>
          <w:rFonts w:ascii="Arial" w:hAnsi="Arial" w:cs="Arial"/>
          <w:b/>
          <w:bCs/>
          <w:color w:val="44546A" w:themeColor="text2"/>
          <w:kern w:val="28"/>
          <w:sz w:val="28"/>
          <w:szCs w:val="28"/>
          <w:lang w:eastAsia="es-ES"/>
        </w:rPr>
      </w:pPr>
      <w:bookmarkStart w:id="36" w:name="_Toc118798815"/>
      <w:bookmarkStart w:id="37" w:name="_Toc119920101"/>
      <w:bookmarkStart w:id="38" w:name="_Toc390783332"/>
      <w:bookmarkEnd w:id="35"/>
      <w:r w:rsidRPr="00E52F90">
        <w:rPr>
          <w:rFonts w:ascii="Arial" w:hAnsi="Arial" w:cs="Arial"/>
          <w:b/>
          <w:bCs/>
          <w:color w:val="44546A" w:themeColor="text2"/>
          <w:kern w:val="28"/>
          <w:sz w:val="28"/>
          <w:szCs w:val="28"/>
          <w:lang w:eastAsia="es-ES"/>
        </w:rPr>
        <w:t>RESULTADOS</w:t>
      </w:r>
      <w:bookmarkEnd w:id="36"/>
      <w:bookmarkEnd w:id="37"/>
    </w:p>
    <w:p w14:paraId="540FAF29" w14:textId="77777777" w:rsidR="00CD5E9D" w:rsidRPr="000D28A2" w:rsidRDefault="00CD5E9D" w:rsidP="00387D65">
      <w:pPr>
        <w:spacing w:after="0" w:line="240" w:lineRule="auto"/>
        <w:rPr>
          <w:rFonts w:ascii="Arial" w:hAnsi="Arial" w:cs="Arial"/>
          <w:b/>
          <w:color w:val="1F3864" w:themeColor="accent5" w:themeShade="80"/>
          <w:sz w:val="24"/>
        </w:rPr>
      </w:pPr>
    </w:p>
    <w:p w14:paraId="78BF9BFF" w14:textId="77777777" w:rsidR="00A3234A" w:rsidRPr="00E52F90" w:rsidRDefault="00A3234A" w:rsidP="00387D65">
      <w:pPr>
        <w:pStyle w:val="Ttulo1"/>
        <w:keepNext w:val="0"/>
        <w:keepLines w:val="0"/>
        <w:numPr>
          <w:ilvl w:val="1"/>
          <w:numId w:val="19"/>
        </w:numPr>
        <w:spacing w:before="0" w:after="0"/>
        <w:ind w:left="709" w:hanging="709"/>
        <w:contextualSpacing/>
        <w:jc w:val="both"/>
        <w:rPr>
          <w:rFonts w:ascii="Arial" w:hAnsi="Arial" w:cs="Arial"/>
          <w:b/>
          <w:bCs/>
          <w:color w:val="44546A" w:themeColor="text2"/>
          <w:kern w:val="28"/>
          <w:sz w:val="24"/>
          <w:szCs w:val="24"/>
          <w:lang w:eastAsia="es-ES"/>
        </w:rPr>
      </w:pPr>
      <w:bookmarkStart w:id="39" w:name="_Toc118798816"/>
      <w:bookmarkStart w:id="40" w:name="_Toc119920102"/>
      <w:r>
        <w:rPr>
          <w:rFonts w:ascii="Arial" w:hAnsi="Arial" w:cs="Arial"/>
          <w:b/>
          <w:bCs/>
          <w:color w:val="44546A" w:themeColor="text2"/>
          <w:kern w:val="28"/>
          <w:sz w:val="24"/>
          <w:szCs w:val="24"/>
          <w:lang w:eastAsia="es-ES"/>
        </w:rPr>
        <w:t>Estado de las recomendaciones giradas a la División de Adeudos Estatales.</w:t>
      </w:r>
      <w:bookmarkEnd w:id="39"/>
      <w:bookmarkEnd w:id="40"/>
    </w:p>
    <w:p w14:paraId="69D07940" w14:textId="77777777" w:rsidR="00CD5E9D" w:rsidRDefault="00CD5E9D" w:rsidP="00387D65">
      <w:pPr>
        <w:spacing w:after="0" w:line="240" w:lineRule="auto"/>
        <w:rPr>
          <w:rFonts w:ascii="Arial" w:hAnsi="Arial" w:cs="Arial"/>
          <w:sz w:val="24"/>
        </w:rPr>
      </w:pPr>
    </w:p>
    <w:p w14:paraId="7DC87093" w14:textId="77777777" w:rsidR="00CD5E9D" w:rsidRPr="00762F8C" w:rsidRDefault="00CD5E9D" w:rsidP="00387D65">
      <w:pPr>
        <w:spacing w:after="0" w:line="240" w:lineRule="auto"/>
        <w:jc w:val="both"/>
        <w:rPr>
          <w:rFonts w:ascii="Arial" w:hAnsi="Arial" w:cs="Arial"/>
        </w:rPr>
      </w:pPr>
      <w:r w:rsidRPr="00762F8C">
        <w:rPr>
          <w:rFonts w:ascii="Arial" w:hAnsi="Arial" w:cs="Arial"/>
        </w:rPr>
        <w:t>La Ley General de Control Interno establece una serie de deberes a cumplir por parte de la Administración para el funcionamiento de los diversos controles, de ahí la importancia de la adopción oportuna de medidas correctivas recomendadas por los organismos fiscalizadores</w:t>
      </w:r>
      <w:r w:rsidR="00824D2A" w:rsidRPr="00762F8C">
        <w:rPr>
          <w:rFonts w:ascii="Arial" w:hAnsi="Arial" w:cs="Arial"/>
        </w:rPr>
        <w:t>.  E</w:t>
      </w:r>
      <w:r w:rsidR="00577E55" w:rsidRPr="00762F8C">
        <w:rPr>
          <w:rFonts w:ascii="Arial" w:hAnsi="Arial" w:cs="Arial"/>
        </w:rPr>
        <w:t xml:space="preserve">n su artículo 12 se establece lo siguiente: </w:t>
      </w:r>
    </w:p>
    <w:p w14:paraId="0D93BFED" w14:textId="77777777" w:rsidR="00577E55" w:rsidRPr="00762F8C" w:rsidRDefault="00577E55" w:rsidP="00387D65">
      <w:pPr>
        <w:spacing w:after="0" w:line="240" w:lineRule="auto"/>
        <w:rPr>
          <w:rFonts w:ascii="Arial" w:hAnsi="Arial" w:cs="Arial"/>
        </w:rPr>
      </w:pPr>
    </w:p>
    <w:p w14:paraId="783698C6" w14:textId="77777777" w:rsidR="00CD5E9D" w:rsidRPr="00762F8C" w:rsidRDefault="00577E55" w:rsidP="00387D65">
      <w:pPr>
        <w:spacing w:after="0" w:line="240" w:lineRule="auto"/>
        <w:ind w:left="850" w:right="850"/>
        <w:jc w:val="both"/>
        <w:rPr>
          <w:rFonts w:ascii="Arial" w:hAnsi="Arial" w:cs="Arial"/>
        </w:rPr>
      </w:pPr>
      <w:r w:rsidRPr="00762F8C">
        <w:rPr>
          <w:rFonts w:ascii="Arial" w:hAnsi="Arial" w:cs="Arial"/>
          <w:i/>
          <w:iCs/>
        </w:rPr>
        <w:t>“Artículo 12. Deberes del jerarca y de los titulares subordinados en el sistema de control interno. …c) Analizar e implantar, de inmediato, las observaciones, recomendaciones y disposiciones formuladas por la auditoría interna, la Contraloría General de la República, la auditoría externa y las demás instituciones de control y fiscalización que corresponde…”</w:t>
      </w:r>
    </w:p>
    <w:p w14:paraId="618FCE2D" w14:textId="77777777" w:rsidR="00811E04" w:rsidRPr="00762F8C" w:rsidRDefault="00811E04" w:rsidP="00387D65">
      <w:pPr>
        <w:autoSpaceDE w:val="0"/>
        <w:autoSpaceDN w:val="0"/>
        <w:adjustRightInd w:val="0"/>
        <w:spacing w:after="0" w:line="240" w:lineRule="auto"/>
        <w:contextualSpacing/>
        <w:jc w:val="both"/>
        <w:rPr>
          <w:rFonts w:ascii="Arial" w:hAnsi="Arial" w:cs="Arial"/>
          <w:lang w:eastAsia="es-CR"/>
        </w:rPr>
      </w:pPr>
      <w:bookmarkStart w:id="41" w:name="_Toc390783338"/>
      <w:bookmarkEnd w:id="38"/>
    </w:p>
    <w:p w14:paraId="64E58410" w14:textId="77777777" w:rsidR="0085163D" w:rsidRDefault="0085163D" w:rsidP="0085163D">
      <w:pPr>
        <w:autoSpaceDE w:val="0"/>
        <w:autoSpaceDN w:val="0"/>
        <w:adjustRightInd w:val="0"/>
        <w:spacing w:after="0" w:line="240" w:lineRule="auto"/>
        <w:contextualSpacing/>
        <w:jc w:val="both"/>
        <w:rPr>
          <w:rFonts w:ascii="Arial" w:hAnsi="Arial" w:cs="Arial"/>
          <w:lang w:eastAsia="es-CR"/>
        </w:rPr>
      </w:pPr>
      <w:r w:rsidRPr="00762F8C">
        <w:rPr>
          <w:rFonts w:ascii="Arial" w:hAnsi="Arial" w:cs="Arial"/>
          <w:lang w:eastAsia="es-CR"/>
        </w:rPr>
        <w:t xml:space="preserve">La División de Adeudos Estatales </w:t>
      </w:r>
      <w:r>
        <w:rPr>
          <w:rFonts w:ascii="Arial" w:hAnsi="Arial" w:cs="Arial"/>
          <w:lang w:eastAsia="es-CR"/>
        </w:rPr>
        <w:t xml:space="preserve">tenía pendientes de cumplimiento </w:t>
      </w:r>
      <w:r w:rsidRPr="00762F8C">
        <w:rPr>
          <w:rFonts w:ascii="Arial" w:hAnsi="Arial" w:cs="Arial"/>
          <w:lang w:eastAsia="es-CR"/>
        </w:rPr>
        <w:t>un total de 42 recomendaciones pendientes de atender, de las cuales, conforme la documentación aportada, se determinó que 20 se encontraban con gestiones que evidenciaban su debido cumplimiento</w:t>
      </w:r>
      <w:r>
        <w:rPr>
          <w:rFonts w:ascii="Arial" w:hAnsi="Arial" w:cs="Arial"/>
          <w:lang w:eastAsia="es-CR"/>
        </w:rPr>
        <w:t xml:space="preserve"> (Ver Anexo N°2)</w:t>
      </w:r>
      <w:r w:rsidRPr="00762F8C">
        <w:rPr>
          <w:rFonts w:ascii="Arial" w:hAnsi="Arial" w:cs="Arial"/>
          <w:lang w:eastAsia="es-CR"/>
        </w:rPr>
        <w:t xml:space="preserve"> y 5 de estas recomendaciones, por variación en las condiciones originalmente </w:t>
      </w:r>
      <w:r>
        <w:rPr>
          <w:rFonts w:ascii="Arial" w:hAnsi="Arial" w:cs="Arial"/>
          <w:lang w:eastAsia="es-CR"/>
        </w:rPr>
        <w:t>identificadas</w:t>
      </w:r>
      <w:r w:rsidRPr="00762F8C">
        <w:rPr>
          <w:rFonts w:ascii="Arial" w:hAnsi="Arial" w:cs="Arial"/>
          <w:lang w:eastAsia="es-CR"/>
        </w:rPr>
        <w:t>, se dejaron sin efecto, previa solicitud debidamente documentada por</w:t>
      </w:r>
      <w:r>
        <w:rPr>
          <w:rFonts w:ascii="Arial" w:hAnsi="Arial" w:cs="Arial"/>
          <w:lang w:eastAsia="es-CR"/>
        </w:rPr>
        <w:t xml:space="preserve"> parte de dicha</w:t>
      </w:r>
      <w:r w:rsidRPr="00762F8C">
        <w:rPr>
          <w:rFonts w:ascii="Arial" w:hAnsi="Arial" w:cs="Arial"/>
          <w:lang w:eastAsia="es-CR"/>
        </w:rPr>
        <w:t xml:space="preserve"> División</w:t>
      </w:r>
      <w:r>
        <w:rPr>
          <w:rFonts w:ascii="Arial" w:hAnsi="Arial" w:cs="Arial"/>
          <w:lang w:eastAsia="es-CR"/>
        </w:rPr>
        <w:t xml:space="preserve"> (Ver Anexo N°3)</w:t>
      </w:r>
      <w:r w:rsidRPr="00762F8C">
        <w:rPr>
          <w:rFonts w:ascii="Arial" w:hAnsi="Arial" w:cs="Arial"/>
          <w:lang w:eastAsia="es-CR"/>
        </w:rPr>
        <w:t>.</w:t>
      </w:r>
    </w:p>
    <w:p w14:paraId="54085358" w14:textId="77777777" w:rsidR="0085163D" w:rsidRDefault="0085163D" w:rsidP="0085163D">
      <w:pPr>
        <w:autoSpaceDE w:val="0"/>
        <w:autoSpaceDN w:val="0"/>
        <w:adjustRightInd w:val="0"/>
        <w:spacing w:after="0" w:line="240" w:lineRule="auto"/>
        <w:contextualSpacing/>
        <w:jc w:val="both"/>
        <w:rPr>
          <w:rFonts w:ascii="Arial" w:hAnsi="Arial" w:cs="Arial"/>
          <w:lang w:eastAsia="es-CR"/>
        </w:rPr>
      </w:pPr>
    </w:p>
    <w:p w14:paraId="5E7248A2" w14:textId="77777777" w:rsidR="0085163D" w:rsidRPr="00CA1AF6" w:rsidRDefault="0085163D" w:rsidP="0085163D">
      <w:pPr>
        <w:autoSpaceDE w:val="0"/>
        <w:autoSpaceDN w:val="0"/>
        <w:adjustRightInd w:val="0"/>
        <w:spacing w:after="0" w:line="240" w:lineRule="auto"/>
        <w:contextualSpacing/>
        <w:jc w:val="both"/>
        <w:rPr>
          <w:rFonts w:ascii="Arial" w:hAnsi="Arial" w:cs="Arial"/>
          <w:lang w:eastAsia="es-CR"/>
        </w:rPr>
      </w:pPr>
      <w:r w:rsidRPr="00CA1AF6">
        <w:rPr>
          <w:rFonts w:ascii="Arial" w:hAnsi="Arial" w:cs="Arial"/>
          <w:lang w:eastAsia="es-CR"/>
        </w:rPr>
        <w:t>Por otro lado, se mant</w:t>
      </w:r>
      <w:r>
        <w:rPr>
          <w:rFonts w:ascii="Arial" w:hAnsi="Arial" w:cs="Arial"/>
          <w:lang w:eastAsia="es-CR"/>
        </w:rPr>
        <w:t>uvieron</w:t>
      </w:r>
      <w:r w:rsidRPr="00CA1AF6">
        <w:rPr>
          <w:rFonts w:ascii="Arial" w:hAnsi="Arial" w:cs="Arial"/>
          <w:lang w:eastAsia="es-CR"/>
        </w:rPr>
        <w:t xml:space="preserve"> 17 recomendaciones </w:t>
      </w:r>
      <w:r>
        <w:rPr>
          <w:rFonts w:ascii="Arial" w:hAnsi="Arial" w:cs="Arial"/>
          <w:lang w:eastAsia="es-CR"/>
        </w:rPr>
        <w:t>como</w:t>
      </w:r>
      <w:r w:rsidRPr="00CA1AF6">
        <w:rPr>
          <w:rFonts w:ascii="Arial" w:hAnsi="Arial" w:cs="Arial"/>
          <w:lang w:eastAsia="es-CR"/>
        </w:rPr>
        <w:t xml:space="preserve"> pendiente</w:t>
      </w:r>
      <w:r>
        <w:rPr>
          <w:rFonts w:ascii="Arial" w:hAnsi="Arial" w:cs="Arial"/>
          <w:lang w:eastAsia="es-CR"/>
        </w:rPr>
        <w:t>s</w:t>
      </w:r>
      <w:r w:rsidRPr="00CA1AF6">
        <w:rPr>
          <w:rFonts w:ascii="Arial" w:hAnsi="Arial" w:cs="Arial"/>
          <w:lang w:eastAsia="es-CR"/>
        </w:rPr>
        <w:t xml:space="preserve"> de atender, las </w:t>
      </w:r>
      <w:r>
        <w:rPr>
          <w:rFonts w:ascii="Arial" w:hAnsi="Arial" w:cs="Arial"/>
          <w:lang w:eastAsia="es-CR"/>
        </w:rPr>
        <w:t xml:space="preserve">cuales pasan a quedar sin efecto, producto de la emisión de este informe, en función de que </w:t>
      </w:r>
      <w:r w:rsidRPr="00CA1AF6">
        <w:rPr>
          <w:rFonts w:ascii="Arial" w:hAnsi="Arial" w:cs="Arial"/>
          <w:lang w:eastAsia="es-CR"/>
        </w:rPr>
        <w:t xml:space="preserve">se </w:t>
      </w:r>
      <w:r w:rsidRPr="00CA1AF6">
        <w:rPr>
          <w:rFonts w:ascii="Arial" w:hAnsi="Arial" w:cs="Arial"/>
          <w:lang w:eastAsia="es-CR"/>
        </w:rPr>
        <w:lastRenderedPageBreak/>
        <w:t xml:space="preserve">han incluido en los siguientes apartados </w:t>
      </w:r>
      <w:r>
        <w:rPr>
          <w:rFonts w:ascii="Arial" w:hAnsi="Arial" w:cs="Arial"/>
          <w:lang w:eastAsia="es-CR"/>
        </w:rPr>
        <w:t>y se relacionarán a partir de su emisión, a nuevas recomendaciones con las que se busca solventar las debilidades que persisten a la fecha</w:t>
      </w:r>
      <w:r w:rsidRPr="00CA1AF6">
        <w:rPr>
          <w:rFonts w:ascii="Arial" w:hAnsi="Arial" w:cs="Arial"/>
          <w:lang w:eastAsia="es-CR"/>
        </w:rPr>
        <w:t>.</w:t>
      </w:r>
    </w:p>
    <w:p w14:paraId="61595DBE" w14:textId="77777777" w:rsidR="0085163D" w:rsidRPr="00762F8C" w:rsidRDefault="0085163D" w:rsidP="0085163D">
      <w:pPr>
        <w:autoSpaceDE w:val="0"/>
        <w:autoSpaceDN w:val="0"/>
        <w:adjustRightInd w:val="0"/>
        <w:spacing w:after="0" w:line="240" w:lineRule="auto"/>
        <w:contextualSpacing/>
        <w:jc w:val="both"/>
        <w:rPr>
          <w:rFonts w:ascii="Arial" w:hAnsi="Arial" w:cs="Arial"/>
          <w:lang w:eastAsia="es-CR"/>
        </w:rPr>
      </w:pPr>
    </w:p>
    <w:p w14:paraId="3C6E3BA2" w14:textId="77777777" w:rsidR="00C96008" w:rsidRDefault="00C50588"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 xml:space="preserve">Lo antes citado, se debe a que la </w:t>
      </w:r>
      <w:r w:rsidR="001D6A8C" w:rsidRPr="001D6A8C">
        <w:rPr>
          <w:rFonts w:ascii="Arial" w:hAnsi="Arial" w:cs="Arial"/>
          <w:lang w:eastAsia="es-CR"/>
        </w:rPr>
        <w:t xml:space="preserve">División de Adeudos Estatales </w:t>
      </w:r>
      <w:r>
        <w:rPr>
          <w:rFonts w:ascii="Arial" w:hAnsi="Arial" w:cs="Arial"/>
          <w:lang w:eastAsia="es-CR"/>
        </w:rPr>
        <w:t xml:space="preserve">no dispone de una metodología </w:t>
      </w:r>
      <w:r w:rsidR="0085163D">
        <w:rPr>
          <w:rFonts w:ascii="Arial" w:hAnsi="Arial" w:cs="Arial"/>
          <w:lang w:eastAsia="es-CR"/>
        </w:rPr>
        <w:t xml:space="preserve">oficializada, </w:t>
      </w:r>
      <w:r>
        <w:rPr>
          <w:rFonts w:ascii="Arial" w:hAnsi="Arial" w:cs="Arial"/>
          <w:lang w:eastAsia="es-CR"/>
        </w:rPr>
        <w:t>que permita llevar el seguimiento oportuno de las recomendaciones</w:t>
      </w:r>
      <w:r w:rsidR="004D7ECB">
        <w:rPr>
          <w:rFonts w:ascii="Arial" w:hAnsi="Arial" w:cs="Arial"/>
          <w:lang w:eastAsia="es-CR"/>
        </w:rPr>
        <w:t xml:space="preserve"> que emite la Auditoría Interna</w:t>
      </w:r>
      <w:r>
        <w:rPr>
          <w:rFonts w:ascii="Arial" w:hAnsi="Arial" w:cs="Arial"/>
          <w:lang w:eastAsia="es-CR"/>
        </w:rPr>
        <w:t xml:space="preserve">, que garantice </w:t>
      </w:r>
      <w:r w:rsidR="00BA72B3">
        <w:rPr>
          <w:rFonts w:ascii="Arial" w:hAnsi="Arial" w:cs="Arial"/>
          <w:lang w:eastAsia="es-CR"/>
        </w:rPr>
        <w:t xml:space="preserve">su </w:t>
      </w:r>
      <w:r>
        <w:rPr>
          <w:rFonts w:ascii="Arial" w:hAnsi="Arial" w:cs="Arial"/>
          <w:lang w:eastAsia="es-CR"/>
        </w:rPr>
        <w:t xml:space="preserve">cumplimiento. </w:t>
      </w:r>
    </w:p>
    <w:p w14:paraId="6BF2881F" w14:textId="77777777" w:rsidR="00BA72B3" w:rsidRDefault="00BA72B3" w:rsidP="00387D65">
      <w:pPr>
        <w:autoSpaceDE w:val="0"/>
        <w:autoSpaceDN w:val="0"/>
        <w:adjustRightInd w:val="0"/>
        <w:spacing w:after="0" w:line="240" w:lineRule="auto"/>
        <w:contextualSpacing/>
        <w:jc w:val="both"/>
        <w:rPr>
          <w:rFonts w:ascii="Arial" w:hAnsi="Arial" w:cs="Arial"/>
          <w:lang w:eastAsia="es-CR"/>
        </w:rPr>
      </w:pPr>
    </w:p>
    <w:p w14:paraId="525CF809" w14:textId="77777777" w:rsidR="00BA72B3" w:rsidRDefault="00BA72B3" w:rsidP="00387D65">
      <w:pPr>
        <w:autoSpaceDE w:val="0"/>
        <w:autoSpaceDN w:val="0"/>
        <w:adjustRightInd w:val="0"/>
        <w:spacing w:after="0" w:line="240" w:lineRule="auto"/>
        <w:contextualSpacing/>
        <w:jc w:val="both"/>
        <w:rPr>
          <w:rFonts w:ascii="Arial" w:hAnsi="Arial" w:cs="Arial"/>
          <w:lang w:eastAsia="es-CR"/>
        </w:rPr>
      </w:pPr>
      <w:r w:rsidRPr="00BA72B3">
        <w:rPr>
          <w:rFonts w:ascii="Arial" w:hAnsi="Arial" w:cs="Arial"/>
          <w:lang w:eastAsia="es-CR"/>
        </w:rPr>
        <w:t xml:space="preserve">Al no cumplir oportunamente con las recomendaciones, </w:t>
      </w:r>
      <w:r w:rsidR="0085163D">
        <w:rPr>
          <w:rFonts w:ascii="Arial" w:hAnsi="Arial" w:cs="Arial"/>
          <w:lang w:eastAsia="es-CR"/>
        </w:rPr>
        <w:t xml:space="preserve">se </w:t>
      </w:r>
      <w:r w:rsidRPr="00BA72B3">
        <w:rPr>
          <w:rFonts w:ascii="Arial" w:hAnsi="Arial" w:cs="Arial"/>
          <w:lang w:eastAsia="es-CR"/>
        </w:rPr>
        <w:t>genera el riesgo que no se</w:t>
      </w:r>
      <w:r w:rsidR="0085163D">
        <w:rPr>
          <w:rFonts w:ascii="Arial" w:hAnsi="Arial" w:cs="Arial"/>
          <w:lang w:eastAsia="es-CR"/>
        </w:rPr>
        <w:t xml:space="preserve"> </w:t>
      </w:r>
      <w:r w:rsidR="0085163D" w:rsidRPr="00BA72B3">
        <w:rPr>
          <w:rFonts w:ascii="Arial" w:hAnsi="Arial" w:cs="Arial"/>
          <w:lang w:eastAsia="es-CR"/>
        </w:rPr>
        <w:t>estén</w:t>
      </w:r>
      <w:r w:rsidRPr="00BA72B3">
        <w:rPr>
          <w:rFonts w:ascii="Arial" w:hAnsi="Arial" w:cs="Arial"/>
          <w:lang w:eastAsia="es-CR"/>
        </w:rPr>
        <w:t xml:space="preserve"> realizando acciones de mejora en el sistema de control interno, lo cual puede ser una </w:t>
      </w:r>
      <w:r w:rsidR="0085163D" w:rsidRPr="00BA72B3">
        <w:rPr>
          <w:rFonts w:ascii="Arial" w:hAnsi="Arial" w:cs="Arial"/>
          <w:lang w:eastAsia="es-CR"/>
        </w:rPr>
        <w:t>limitante</w:t>
      </w:r>
      <w:r w:rsidRPr="00BA72B3">
        <w:rPr>
          <w:rFonts w:ascii="Arial" w:hAnsi="Arial" w:cs="Arial"/>
          <w:lang w:eastAsia="es-CR"/>
        </w:rPr>
        <w:t xml:space="preserve"> para el cumplimiento de metas y objetivos, en menoscabo de los </w:t>
      </w:r>
      <w:r w:rsidR="0085163D" w:rsidRPr="00BA72B3">
        <w:rPr>
          <w:rFonts w:ascii="Arial" w:hAnsi="Arial" w:cs="Arial"/>
          <w:lang w:eastAsia="es-CR"/>
        </w:rPr>
        <w:t>ingresos</w:t>
      </w:r>
      <w:r w:rsidRPr="00BA72B3">
        <w:rPr>
          <w:rFonts w:ascii="Arial" w:hAnsi="Arial" w:cs="Arial"/>
          <w:lang w:eastAsia="es-CR"/>
        </w:rPr>
        <w:t xml:space="preserve"> públicos.</w:t>
      </w:r>
    </w:p>
    <w:p w14:paraId="53A444F7" w14:textId="77777777" w:rsidR="00BA72B3" w:rsidRDefault="00BA72B3" w:rsidP="00387D65">
      <w:pPr>
        <w:autoSpaceDE w:val="0"/>
        <w:autoSpaceDN w:val="0"/>
        <w:adjustRightInd w:val="0"/>
        <w:spacing w:after="0" w:line="240" w:lineRule="auto"/>
        <w:contextualSpacing/>
        <w:jc w:val="both"/>
        <w:rPr>
          <w:rFonts w:ascii="Arial" w:hAnsi="Arial" w:cs="Arial"/>
          <w:lang w:eastAsia="es-CR"/>
        </w:rPr>
      </w:pPr>
    </w:p>
    <w:p w14:paraId="5FF68D72" w14:textId="77777777" w:rsidR="00286EE7" w:rsidRDefault="00286EE7" w:rsidP="00387D65">
      <w:pPr>
        <w:autoSpaceDE w:val="0"/>
        <w:autoSpaceDN w:val="0"/>
        <w:adjustRightInd w:val="0"/>
        <w:spacing w:after="0" w:line="240" w:lineRule="auto"/>
        <w:contextualSpacing/>
        <w:jc w:val="both"/>
        <w:rPr>
          <w:rFonts w:ascii="Arial" w:hAnsi="Arial" w:cs="Arial"/>
          <w:sz w:val="24"/>
          <w:szCs w:val="24"/>
          <w:lang w:eastAsia="es-CR"/>
        </w:rPr>
      </w:pPr>
    </w:p>
    <w:p w14:paraId="109D46D4" w14:textId="77777777" w:rsidR="00BA72B3" w:rsidRPr="006A5CA9" w:rsidRDefault="00BA72B3" w:rsidP="006A5CA9">
      <w:pPr>
        <w:pStyle w:val="Ttulo1"/>
        <w:keepNext w:val="0"/>
        <w:keepLines w:val="0"/>
        <w:numPr>
          <w:ilvl w:val="1"/>
          <w:numId w:val="19"/>
        </w:numPr>
        <w:spacing w:before="0" w:after="0"/>
        <w:ind w:left="709" w:hanging="709"/>
        <w:contextualSpacing/>
        <w:jc w:val="both"/>
        <w:rPr>
          <w:rFonts w:ascii="Arial" w:hAnsi="Arial" w:cs="Arial"/>
          <w:b/>
          <w:bCs/>
          <w:color w:val="44546A" w:themeColor="text2"/>
          <w:kern w:val="28"/>
          <w:sz w:val="24"/>
          <w:szCs w:val="24"/>
          <w:lang w:eastAsia="es-ES"/>
        </w:rPr>
      </w:pPr>
      <w:bookmarkStart w:id="42" w:name="_Toc119920103"/>
      <w:r w:rsidRPr="006A5CA9">
        <w:rPr>
          <w:rFonts w:ascii="Arial" w:hAnsi="Arial" w:cs="Arial"/>
          <w:b/>
          <w:bCs/>
          <w:color w:val="44546A" w:themeColor="text2"/>
          <w:kern w:val="28"/>
          <w:sz w:val="24"/>
          <w:szCs w:val="24"/>
          <w:lang w:eastAsia="es-ES"/>
        </w:rPr>
        <w:t>Sobre las 17 recomendaciones</w:t>
      </w:r>
      <w:r w:rsidR="00583157" w:rsidRPr="006A5CA9">
        <w:rPr>
          <w:rFonts w:ascii="Arial" w:hAnsi="Arial" w:cs="Arial"/>
          <w:b/>
          <w:bCs/>
          <w:color w:val="44546A" w:themeColor="text2"/>
          <w:kern w:val="28"/>
          <w:sz w:val="24"/>
          <w:szCs w:val="24"/>
          <w:lang w:eastAsia="es-ES"/>
        </w:rPr>
        <w:t xml:space="preserve"> </w:t>
      </w:r>
      <w:r w:rsidR="0003759A" w:rsidRPr="006A5CA9">
        <w:rPr>
          <w:rFonts w:ascii="Arial" w:hAnsi="Arial" w:cs="Arial"/>
          <w:b/>
          <w:bCs/>
          <w:color w:val="44546A" w:themeColor="text2"/>
          <w:kern w:val="28"/>
          <w:sz w:val="24"/>
          <w:szCs w:val="24"/>
          <w:lang w:eastAsia="es-ES"/>
        </w:rPr>
        <w:t>pendientes de atender</w:t>
      </w:r>
      <w:r w:rsidRPr="006A5CA9">
        <w:rPr>
          <w:rFonts w:ascii="Arial" w:hAnsi="Arial" w:cs="Arial"/>
          <w:b/>
          <w:bCs/>
          <w:color w:val="44546A" w:themeColor="text2"/>
          <w:kern w:val="28"/>
          <w:sz w:val="24"/>
          <w:szCs w:val="24"/>
          <w:lang w:eastAsia="es-ES"/>
        </w:rPr>
        <w:t>.</w:t>
      </w:r>
      <w:bookmarkEnd w:id="42"/>
    </w:p>
    <w:p w14:paraId="7CB2E284" w14:textId="77777777" w:rsidR="005F1516" w:rsidRPr="0097229D" w:rsidRDefault="005F1516" w:rsidP="0097229D">
      <w:pPr>
        <w:autoSpaceDE w:val="0"/>
        <w:autoSpaceDN w:val="0"/>
        <w:adjustRightInd w:val="0"/>
        <w:spacing w:after="0" w:line="240" w:lineRule="auto"/>
        <w:jc w:val="both"/>
        <w:rPr>
          <w:rFonts w:ascii="Arial" w:hAnsi="Arial" w:cs="Arial"/>
          <w:sz w:val="24"/>
          <w:szCs w:val="24"/>
          <w:lang w:eastAsia="es-CR"/>
        </w:rPr>
      </w:pPr>
    </w:p>
    <w:p w14:paraId="75A8E84C" w14:textId="77777777" w:rsidR="00286EE7" w:rsidRPr="00973E6B" w:rsidRDefault="005F1516" w:rsidP="0097229D">
      <w:pPr>
        <w:pStyle w:val="Ttulo1"/>
        <w:keepNext w:val="0"/>
        <w:keepLines w:val="0"/>
        <w:spacing w:before="0" w:after="0"/>
        <w:contextualSpacing/>
        <w:jc w:val="both"/>
        <w:rPr>
          <w:rFonts w:ascii="Arial" w:hAnsi="Arial" w:cs="Arial"/>
          <w:b/>
          <w:color w:val="17365D"/>
          <w:sz w:val="24"/>
          <w:szCs w:val="24"/>
        </w:rPr>
      </w:pPr>
      <w:bookmarkStart w:id="43" w:name="_Toc119920104"/>
      <w:r>
        <w:rPr>
          <w:rFonts w:ascii="Arial" w:hAnsi="Arial" w:cs="Arial"/>
          <w:b/>
          <w:bCs/>
          <w:color w:val="44546A" w:themeColor="text2"/>
          <w:kern w:val="28"/>
          <w:sz w:val="24"/>
          <w:szCs w:val="24"/>
          <w:lang w:eastAsia="es-ES"/>
        </w:rPr>
        <w:t xml:space="preserve">2.2.1 </w:t>
      </w:r>
      <w:r w:rsidR="0061266D">
        <w:rPr>
          <w:rFonts w:ascii="Arial" w:hAnsi="Arial" w:cs="Arial"/>
          <w:b/>
          <w:bCs/>
          <w:color w:val="44546A" w:themeColor="text2"/>
          <w:kern w:val="28"/>
          <w:sz w:val="24"/>
          <w:szCs w:val="24"/>
          <w:lang w:eastAsia="es-ES"/>
        </w:rPr>
        <w:t>S</w:t>
      </w:r>
      <w:r w:rsidR="00E8454B" w:rsidRPr="00A3234A">
        <w:rPr>
          <w:rFonts w:ascii="Arial" w:hAnsi="Arial" w:cs="Arial"/>
          <w:b/>
          <w:bCs/>
          <w:color w:val="44546A" w:themeColor="text2"/>
          <w:kern w:val="28"/>
          <w:sz w:val="24"/>
          <w:szCs w:val="24"/>
          <w:lang w:eastAsia="es-ES"/>
        </w:rPr>
        <w:t>obre el proceso de administración y custodia de la información y documentación.</w:t>
      </w:r>
      <w:bookmarkEnd w:id="43"/>
    </w:p>
    <w:p w14:paraId="6BE49FAC" w14:textId="77777777" w:rsidR="00E8454B" w:rsidRDefault="00E8454B" w:rsidP="00387D65">
      <w:pPr>
        <w:autoSpaceDE w:val="0"/>
        <w:autoSpaceDN w:val="0"/>
        <w:adjustRightInd w:val="0"/>
        <w:spacing w:after="0" w:line="240" w:lineRule="auto"/>
        <w:contextualSpacing/>
        <w:jc w:val="both"/>
        <w:rPr>
          <w:rFonts w:ascii="Arial" w:hAnsi="Arial" w:cs="Arial"/>
          <w:sz w:val="24"/>
          <w:szCs w:val="24"/>
          <w:lang w:eastAsia="es-CR"/>
        </w:rPr>
      </w:pPr>
    </w:p>
    <w:p w14:paraId="3CCE7143" w14:textId="77777777" w:rsidR="00B30BED" w:rsidRPr="0097229D" w:rsidRDefault="00E8454B" w:rsidP="0097229D">
      <w:pPr>
        <w:spacing w:after="0" w:line="240" w:lineRule="auto"/>
        <w:ind w:left="850" w:right="850"/>
        <w:jc w:val="both"/>
        <w:rPr>
          <w:rFonts w:ascii="Arial" w:hAnsi="Arial" w:cs="Arial"/>
          <w:i/>
          <w:iCs/>
        </w:rPr>
      </w:pPr>
      <w:bookmarkStart w:id="44" w:name="_Hlk119415502"/>
      <w:r w:rsidRPr="0097229D">
        <w:rPr>
          <w:rFonts w:ascii="Arial" w:hAnsi="Arial" w:cs="Arial"/>
          <w:i/>
          <w:iCs/>
        </w:rPr>
        <w:t>La</w:t>
      </w:r>
      <w:r w:rsidR="00961C8F" w:rsidRPr="0097229D">
        <w:rPr>
          <w:rFonts w:ascii="Arial" w:hAnsi="Arial" w:cs="Arial"/>
          <w:i/>
          <w:iCs/>
        </w:rPr>
        <w:t xml:space="preserve"> </w:t>
      </w:r>
      <w:r w:rsidR="00C115C8" w:rsidRPr="0097229D">
        <w:rPr>
          <w:rFonts w:ascii="Arial" w:hAnsi="Arial" w:cs="Arial"/>
          <w:i/>
          <w:iCs/>
        </w:rPr>
        <w:t xml:space="preserve">norma </w:t>
      </w:r>
      <w:r w:rsidR="00961C8F" w:rsidRPr="0097229D">
        <w:rPr>
          <w:rFonts w:ascii="Arial" w:hAnsi="Arial" w:cs="Arial"/>
          <w:i/>
          <w:iCs/>
        </w:rPr>
        <w:t xml:space="preserve">4.4.1 de las Normas </w:t>
      </w:r>
      <w:r w:rsidRPr="0097229D">
        <w:rPr>
          <w:rFonts w:ascii="Arial" w:hAnsi="Arial" w:cs="Arial"/>
          <w:i/>
          <w:iCs/>
        </w:rPr>
        <w:t>de control interno para el Sector Público (N-2-2009-CO-DFOE), se refiere a las responsabilidades del jerarca y los titulares subordinados, de establecer las medidas pertinentes para que los actos de la gestión institucional, sus resultados y otros eventos relevantes, se registren y documenten en el lapso adecuado y conveniente, y se garanticen razonablemente la confidencialidad y el acceso a la información pública.</w:t>
      </w:r>
      <w:r w:rsidR="0097477D" w:rsidRPr="0097229D">
        <w:rPr>
          <w:rFonts w:ascii="Arial" w:hAnsi="Arial" w:cs="Arial"/>
          <w:i/>
          <w:iCs/>
        </w:rPr>
        <w:t xml:space="preserve"> </w:t>
      </w:r>
    </w:p>
    <w:bookmarkEnd w:id="44"/>
    <w:p w14:paraId="56DBE0D8" w14:textId="77777777" w:rsidR="005928C4" w:rsidRPr="00CA1AF6" w:rsidRDefault="005928C4" w:rsidP="00387D65">
      <w:pPr>
        <w:autoSpaceDE w:val="0"/>
        <w:autoSpaceDN w:val="0"/>
        <w:adjustRightInd w:val="0"/>
        <w:spacing w:after="0" w:line="240" w:lineRule="auto"/>
        <w:contextualSpacing/>
        <w:jc w:val="both"/>
        <w:rPr>
          <w:rFonts w:ascii="Arial" w:hAnsi="Arial" w:cs="Arial"/>
          <w:lang w:eastAsia="es-CR"/>
        </w:rPr>
      </w:pPr>
    </w:p>
    <w:p w14:paraId="4C4D9F93" w14:textId="77777777" w:rsidR="0001330F" w:rsidRDefault="005928C4" w:rsidP="00387D65">
      <w:pPr>
        <w:autoSpaceDE w:val="0"/>
        <w:autoSpaceDN w:val="0"/>
        <w:adjustRightInd w:val="0"/>
        <w:spacing w:after="0" w:line="240" w:lineRule="auto"/>
        <w:contextualSpacing/>
        <w:jc w:val="both"/>
        <w:rPr>
          <w:rFonts w:ascii="Arial" w:hAnsi="Arial" w:cs="Arial"/>
          <w:lang w:eastAsia="es-CR"/>
        </w:rPr>
      </w:pPr>
      <w:r w:rsidRPr="00CA1AF6">
        <w:rPr>
          <w:rFonts w:ascii="Arial" w:hAnsi="Arial" w:cs="Arial"/>
          <w:lang w:eastAsia="es-CR"/>
        </w:rPr>
        <w:t xml:space="preserve">La </w:t>
      </w:r>
      <w:bookmarkStart w:id="45" w:name="_Hlk119672895"/>
      <w:r w:rsidRPr="00CA1AF6">
        <w:rPr>
          <w:rFonts w:ascii="Arial" w:hAnsi="Arial" w:cs="Arial"/>
          <w:lang w:eastAsia="es-CR"/>
        </w:rPr>
        <w:t xml:space="preserve">División de Adeudos </w:t>
      </w:r>
      <w:r w:rsidR="00C115C8">
        <w:rPr>
          <w:rFonts w:ascii="Arial" w:hAnsi="Arial" w:cs="Arial"/>
          <w:lang w:eastAsia="es-CR"/>
        </w:rPr>
        <w:t>E</w:t>
      </w:r>
      <w:r w:rsidRPr="00CA1AF6">
        <w:rPr>
          <w:rFonts w:ascii="Arial" w:hAnsi="Arial" w:cs="Arial"/>
          <w:lang w:eastAsia="es-CR"/>
        </w:rPr>
        <w:t xml:space="preserve">statales </w:t>
      </w:r>
      <w:bookmarkEnd w:id="45"/>
      <w:r w:rsidRPr="00CA1AF6">
        <w:rPr>
          <w:rFonts w:ascii="Arial" w:hAnsi="Arial" w:cs="Arial"/>
          <w:lang w:eastAsia="es-CR"/>
        </w:rPr>
        <w:t xml:space="preserve">ha realizado acciones para la implementación de las mejoras en el uso de sistemas informáticos, y </w:t>
      </w:r>
      <w:r w:rsidR="004D44BA" w:rsidRPr="00CA1AF6">
        <w:rPr>
          <w:rFonts w:ascii="Arial" w:hAnsi="Arial" w:cs="Arial"/>
          <w:lang w:eastAsia="es-CR"/>
        </w:rPr>
        <w:t xml:space="preserve">en lo </w:t>
      </w:r>
      <w:r w:rsidR="0001330F">
        <w:rPr>
          <w:rFonts w:ascii="Arial" w:hAnsi="Arial" w:cs="Arial"/>
          <w:lang w:eastAsia="es-CR"/>
        </w:rPr>
        <w:t>referente</w:t>
      </w:r>
      <w:r w:rsidR="004D44BA" w:rsidRPr="00CA1AF6">
        <w:rPr>
          <w:rFonts w:ascii="Arial" w:hAnsi="Arial" w:cs="Arial"/>
          <w:lang w:eastAsia="es-CR"/>
        </w:rPr>
        <w:t xml:space="preserve"> al</w:t>
      </w:r>
      <w:r w:rsidRPr="00CA1AF6">
        <w:rPr>
          <w:rFonts w:ascii="Arial" w:hAnsi="Arial" w:cs="Arial"/>
          <w:lang w:eastAsia="es-CR"/>
        </w:rPr>
        <w:t xml:space="preserve"> acceso y control de la información, sin embargo, no han sido suficientes para cumplir con lo señalado en las recomendaciones </w:t>
      </w:r>
      <w:r w:rsidR="009529BA" w:rsidRPr="00CA1AF6">
        <w:rPr>
          <w:rFonts w:ascii="Arial" w:hAnsi="Arial" w:cs="Arial"/>
          <w:lang w:eastAsia="es-CR"/>
        </w:rPr>
        <w:t xml:space="preserve">3.1, 3.2, 3.6, 3.7 del </w:t>
      </w:r>
      <w:r w:rsidR="00C115C8">
        <w:rPr>
          <w:rFonts w:ascii="Arial" w:hAnsi="Arial" w:cs="Arial"/>
          <w:lang w:eastAsia="es-CR"/>
        </w:rPr>
        <w:t>i</w:t>
      </w:r>
      <w:r w:rsidR="009529BA" w:rsidRPr="00CA1AF6">
        <w:rPr>
          <w:rFonts w:ascii="Arial" w:hAnsi="Arial" w:cs="Arial"/>
          <w:lang w:eastAsia="es-CR"/>
        </w:rPr>
        <w:t>nforme DGAI-INF-002-2017</w:t>
      </w:r>
      <w:r w:rsidR="00C115C8">
        <w:rPr>
          <w:rFonts w:ascii="Arial" w:hAnsi="Arial" w:cs="Arial"/>
          <w:lang w:eastAsia="es-CR"/>
        </w:rPr>
        <w:t xml:space="preserve"> y la </w:t>
      </w:r>
      <w:r w:rsidR="009529BA" w:rsidRPr="00CA1AF6">
        <w:rPr>
          <w:rFonts w:ascii="Arial" w:hAnsi="Arial" w:cs="Arial"/>
          <w:lang w:eastAsia="es-CR"/>
        </w:rPr>
        <w:t xml:space="preserve">4.3 del </w:t>
      </w:r>
      <w:r w:rsidR="00C115C8">
        <w:rPr>
          <w:rFonts w:ascii="Arial" w:hAnsi="Arial" w:cs="Arial"/>
          <w:lang w:eastAsia="es-CR"/>
        </w:rPr>
        <w:t>i</w:t>
      </w:r>
      <w:r w:rsidR="009529BA" w:rsidRPr="00CA1AF6">
        <w:rPr>
          <w:rFonts w:ascii="Arial" w:hAnsi="Arial" w:cs="Arial"/>
          <w:lang w:eastAsia="es-CR"/>
        </w:rPr>
        <w:t>nforme AI-INF-025-2017</w:t>
      </w:r>
      <w:r w:rsidR="00C115C8">
        <w:rPr>
          <w:rFonts w:ascii="Arial" w:hAnsi="Arial" w:cs="Arial"/>
          <w:lang w:eastAsia="es-CR"/>
        </w:rPr>
        <w:t>,</w:t>
      </w:r>
      <w:r w:rsidR="009529BA" w:rsidRPr="00CA1AF6">
        <w:rPr>
          <w:rFonts w:ascii="Arial" w:hAnsi="Arial" w:cs="Arial"/>
          <w:lang w:eastAsia="es-CR"/>
        </w:rPr>
        <w:t xml:space="preserve"> ambos informes relacionados con el proceso de administración y custodia de la información y documentación</w:t>
      </w:r>
      <w:r w:rsidR="00431F40">
        <w:rPr>
          <w:rFonts w:ascii="Arial" w:hAnsi="Arial" w:cs="Arial"/>
          <w:lang w:eastAsia="es-CR"/>
        </w:rPr>
        <w:t xml:space="preserve">, </w:t>
      </w:r>
      <w:r w:rsidR="00431F40" w:rsidRPr="00395EB2">
        <w:rPr>
          <w:rFonts w:ascii="Arial" w:hAnsi="Arial" w:cs="Arial"/>
          <w:lang w:eastAsia="es-CR"/>
        </w:rPr>
        <w:t xml:space="preserve">lo </w:t>
      </w:r>
      <w:r w:rsidR="00395EB2" w:rsidRPr="00395EB2">
        <w:rPr>
          <w:rFonts w:ascii="Arial" w:hAnsi="Arial" w:cs="Arial"/>
          <w:lang w:eastAsia="es-CR"/>
        </w:rPr>
        <w:t xml:space="preserve">cual </w:t>
      </w:r>
      <w:r w:rsidR="004C6EB5" w:rsidRPr="00395EB2">
        <w:rPr>
          <w:rFonts w:ascii="Arial" w:hAnsi="Arial" w:cs="Arial"/>
          <w:lang w:eastAsia="es-CR"/>
        </w:rPr>
        <w:t xml:space="preserve">se refleja </w:t>
      </w:r>
      <w:r w:rsidR="0001330F">
        <w:rPr>
          <w:rFonts w:ascii="Arial" w:hAnsi="Arial" w:cs="Arial"/>
          <w:lang w:eastAsia="es-CR"/>
        </w:rPr>
        <w:t>en no se ha logrado el</w:t>
      </w:r>
      <w:r w:rsidR="0001330F" w:rsidRPr="002770BD">
        <w:rPr>
          <w:rFonts w:ascii="Arial" w:hAnsi="Arial" w:cs="Arial"/>
        </w:rPr>
        <w:t xml:space="preserve"> objetivo en relación a </w:t>
      </w:r>
      <w:r w:rsidR="0001330F">
        <w:rPr>
          <w:rFonts w:ascii="Arial" w:hAnsi="Arial" w:cs="Arial"/>
        </w:rPr>
        <w:t xml:space="preserve">la conciliación de </w:t>
      </w:r>
      <w:r w:rsidR="0001330F" w:rsidRPr="002770BD">
        <w:rPr>
          <w:rFonts w:ascii="Arial" w:hAnsi="Arial" w:cs="Arial"/>
        </w:rPr>
        <w:t>lo incluido en el sistema informático vs. los expedientes físicos.</w:t>
      </w:r>
    </w:p>
    <w:p w14:paraId="58EFB3D3" w14:textId="77777777" w:rsidR="0001330F" w:rsidRDefault="0001330F" w:rsidP="00387D65">
      <w:pPr>
        <w:autoSpaceDE w:val="0"/>
        <w:autoSpaceDN w:val="0"/>
        <w:adjustRightInd w:val="0"/>
        <w:spacing w:after="0" w:line="240" w:lineRule="auto"/>
        <w:contextualSpacing/>
        <w:jc w:val="both"/>
        <w:rPr>
          <w:rFonts w:ascii="Arial" w:hAnsi="Arial" w:cs="Arial"/>
          <w:lang w:eastAsia="es-CR"/>
        </w:rPr>
      </w:pPr>
    </w:p>
    <w:p w14:paraId="7ED2954B" w14:textId="77777777" w:rsidR="0001330F" w:rsidRPr="00C751B5" w:rsidRDefault="006659EB" w:rsidP="00387D65">
      <w:pPr>
        <w:spacing w:after="0" w:line="240" w:lineRule="auto"/>
        <w:jc w:val="both"/>
        <w:rPr>
          <w:rFonts w:ascii="Arial" w:hAnsi="Arial" w:cs="Arial"/>
        </w:rPr>
      </w:pPr>
      <w:r>
        <w:rPr>
          <w:rFonts w:ascii="Arial" w:hAnsi="Arial" w:cs="Arial"/>
        </w:rPr>
        <w:t>Esto</w:t>
      </w:r>
      <w:r w:rsidR="0001330F">
        <w:rPr>
          <w:rFonts w:ascii="Arial" w:hAnsi="Arial" w:cs="Arial"/>
        </w:rPr>
        <w:t xml:space="preserve"> por cuanto n</w:t>
      </w:r>
      <w:r w:rsidR="0001330F" w:rsidRPr="00C751B5">
        <w:rPr>
          <w:rFonts w:ascii="Arial" w:hAnsi="Arial" w:cs="Arial"/>
        </w:rPr>
        <w:t xml:space="preserve">o existe una valoración de riesgo del proceso de administración de expedientes, que permita tomar las medidas en relación al manejo de la información. </w:t>
      </w:r>
    </w:p>
    <w:p w14:paraId="6FB650CF" w14:textId="77777777" w:rsidR="0003759A" w:rsidRDefault="0003759A" w:rsidP="00387D65">
      <w:pPr>
        <w:spacing w:after="0" w:line="240" w:lineRule="auto"/>
        <w:jc w:val="both"/>
        <w:rPr>
          <w:rFonts w:ascii="Arial" w:hAnsi="Arial" w:cs="Arial"/>
        </w:rPr>
      </w:pPr>
    </w:p>
    <w:p w14:paraId="40470B10" w14:textId="77777777" w:rsidR="005928F7" w:rsidRPr="00C2511F" w:rsidRDefault="00395EB2" w:rsidP="00387D65">
      <w:pPr>
        <w:spacing w:after="0" w:line="240" w:lineRule="auto"/>
        <w:jc w:val="both"/>
        <w:rPr>
          <w:rFonts w:ascii="Arial" w:hAnsi="Arial" w:cs="Arial"/>
        </w:rPr>
      </w:pPr>
      <w:r>
        <w:rPr>
          <w:rFonts w:ascii="Arial" w:hAnsi="Arial" w:cs="Arial"/>
        </w:rPr>
        <w:t>Lo anterior incrementa el r</w:t>
      </w:r>
      <w:r w:rsidR="005928F7">
        <w:rPr>
          <w:rFonts w:ascii="Arial" w:hAnsi="Arial" w:cs="Arial"/>
        </w:rPr>
        <w:t xml:space="preserve">iesgo de afectación </w:t>
      </w:r>
      <w:r>
        <w:rPr>
          <w:rFonts w:ascii="Arial" w:hAnsi="Arial" w:cs="Arial"/>
        </w:rPr>
        <w:t>de</w:t>
      </w:r>
      <w:r w:rsidR="005928F7">
        <w:rPr>
          <w:rFonts w:ascii="Arial" w:hAnsi="Arial" w:cs="Arial"/>
        </w:rPr>
        <w:t xml:space="preserve"> la c</w:t>
      </w:r>
      <w:r w:rsidR="005928F7" w:rsidRPr="00C2511F">
        <w:rPr>
          <w:rFonts w:ascii="Arial" w:hAnsi="Arial" w:cs="Arial"/>
        </w:rPr>
        <w:t>alidad de la información</w:t>
      </w:r>
      <w:r>
        <w:rPr>
          <w:rFonts w:ascii="Arial" w:hAnsi="Arial" w:cs="Arial"/>
        </w:rPr>
        <w:t>,</w:t>
      </w:r>
      <w:r w:rsidR="005928F7" w:rsidRPr="00C2511F">
        <w:rPr>
          <w:rFonts w:ascii="Arial" w:hAnsi="Arial" w:cs="Arial"/>
        </w:rPr>
        <w:t xml:space="preserve"> lo que va en perjuicio de contar con un insumo </w:t>
      </w:r>
      <w:r w:rsidR="005928F7">
        <w:rPr>
          <w:rFonts w:ascii="Arial" w:hAnsi="Arial" w:cs="Arial"/>
        </w:rPr>
        <w:t>válido</w:t>
      </w:r>
      <w:r w:rsidR="005928F7" w:rsidRPr="00C2511F">
        <w:rPr>
          <w:rFonts w:ascii="Arial" w:hAnsi="Arial" w:cs="Arial"/>
        </w:rPr>
        <w:t xml:space="preserve"> para la toma de decisiones. </w:t>
      </w:r>
    </w:p>
    <w:p w14:paraId="00803404" w14:textId="77777777" w:rsidR="00961C8F" w:rsidRPr="002B7453" w:rsidRDefault="00961C8F" w:rsidP="00387D65">
      <w:pPr>
        <w:autoSpaceDE w:val="0"/>
        <w:autoSpaceDN w:val="0"/>
        <w:adjustRightInd w:val="0"/>
        <w:spacing w:after="0" w:line="240" w:lineRule="auto"/>
        <w:contextualSpacing/>
        <w:jc w:val="both"/>
        <w:rPr>
          <w:rFonts w:ascii="Arial" w:hAnsi="Arial" w:cs="Arial"/>
          <w:szCs w:val="24"/>
          <w:lang w:eastAsia="es-CR"/>
        </w:rPr>
      </w:pPr>
    </w:p>
    <w:p w14:paraId="515830B4" w14:textId="77777777" w:rsidR="009529BA" w:rsidRPr="00A3234A" w:rsidRDefault="00C663E8" w:rsidP="0097229D">
      <w:pPr>
        <w:pStyle w:val="Ttulo1"/>
        <w:keepNext w:val="0"/>
        <w:keepLines w:val="0"/>
        <w:spacing w:before="0" w:after="0"/>
        <w:contextualSpacing/>
        <w:jc w:val="both"/>
        <w:rPr>
          <w:rFonts w:ascii="Arial" w:hAnsi="Arial" w:cs="Arial"/>
          <w:b/>
          <w:bCs/>
          <w:color w:val="44546A" w:themeColor="text2"/>
          <w:kern w:val="28"/>
          <w:sz w:val="24"/>
          <w:szCs w:val="24"/>
          <w:lang w:eastAsia="es-ES"/>
        </w:rPr>
      </w:pPr>
      <w:bookmarkStart w:id="46" w:name="_Toc119920105"/>
      <w:bookmarkStart w:id="47" w:name="_Hlk116390800"/>
      <w:r>
        <w:rPr>
          <w:rFonts w:ascii="Arial" w:hAnsi="Arial" w:cs="Arial"/>
          <w:b/>
          <w:bCs/>
          <w:color w:val="44546A" w:themeColor="text2"/>
          <w:kern w:val="28"/>
          <w:sz w:val="24"/>
          <w:szCs w:val="24"/>
          <w:lang w:eastAsia="es-ES"/>
        </w:rPr>
        <w:t xml:space="preserve">2.2.2 </w:t>
      </w:r>
      <w:r w:rsidR="0061266D">
        <w:rPr>
          <w:rFonts w:ascii="Arial" w:hAnsi="Arial" w:cs="Arial"/>
          <w:b/>
          <w:bCs/>
          <w:color w:val="44546A" w:themeColor="text2"/>
          <w:kern w:val="28"/>
          <w:sz w:val="24"/>
          <w:szCs w:val="24"/>
          <w:lang w:eastAsia="es-ES"/>
        </w:rPr>
        <w:t xml:space="preserve">Sobre </w:t>
      </w:r>
      <w:r w:rsidR="0058092A">
        <w:rPr>
          <w:rFonts w:ascii="Arial" w:hAnsi="Arial" w:cs="Arial"/>
          <w:b/>
          <w:bCs/>
          <w:color w:val="44546A" w:themeColor="text2"/>
          <w:kern w:val="28"/>
          <w:sz w:val="24"/>
          <w:szCs w:val="24"/>
          <w:lang w:eastAsia="es-ES"/>
        </w:rPr>
        <w:t xml:space="preserve">los </w:t>
      </w:r>
      <w:r w:rsidR="00D3673A" w:rsidRPr="00D3673A">
        <w:rPr>
          <w:rFonts w:ascii="Arial" w:hAnsi="Arial" w:cs="Arial"/>
          <w:b/>
          <w:bCs/>
          <w:color w:val="44546A" w:themeColor="text2"/>
          <w:kern w:val="28"/>
          <w:sz w:val="24"/>
          <w:szCs w:val="24"/>
          <w:lang w:eastAsia="es-ES"/>
        </w:rPr>
        <w:t xml:space="preserve">controles </w:t>
      </w:r>
      <w:r w:rsidR="00F1785B">
        <w:rPr>
          <w:rFonts w:ascii="Arial" w:hAnsi="Arial" w:cs="Arial"/>
          <w:b/>
          <w:bCs/>
          <w:color w:val="44546A" w:themeColor="text2"/>
          <w:kern w:val="28"/>
          <w:sz w:val="24"/>
          <w:szCs w:val="24"/>
          <w:lang w:eastAsia="es-ES"/>
        </w:rPr>
        <w:t>para los expedientes de cobro judicial</w:t>
      </w:r>
      <w:r w:rsidR="00062247" w:rsidRPr="00A3234A">
        <w:rPr>
          <w:rFonts w:ascii="Arial" w:hAnsi="Arial" w:cs="Arial"/>
          <w:b/>
          <w:bCs/>
          <w:color w:val="44546A" w:themeColor="text2"/>
          <w:kern w:val="28"/>
          <w:sz w:val="24"/>
          <w:szCs w:val="24"/>
          <w:lang w:eastAsia="es-ES"/>
        </w:rPr>
        <w:t>.</w:t>
      </w:r>
      <w:bookmarkEnd w:id="46"/>
    </w:p>
    <w:bookmarkEnd w:id="47"/>
    <w:p w14:paraId="3F514C86" w14:textId="77777777" w:rsidR="00F70F8A" w:rsidRPr="002B7453" w:rsidRDefault="00F70F8A" w:rsidP="00387D65">
      <w:pPr>
        <w:autoSpaceDE w:val="0"/>
        <w:autoSpaceDN w:val="0"/>
        <w:adjustRightInd w:val="0"/>
        <w:spacing w:after="0" w:line="240" w:lineRule="auto"/>
        <w:contextualSpacing/>
        <w:jc w:val="both"/>
        <w:rPr>
          <w:rFonts w:ascii="Arial" w:hAnsi="Arial" w:cs="Arial"/>
          <w:szCs w:val="24"/>
          <w:lang w:eastAsia="es-CR"/>
        </w:rPr>
      </w:pPr>
    </w:p>
    <w:p w14:paraId="2CF17B89" w14:textId="77777777" w:rsidR="003F5283" w:rsidRDefault="003F5283"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La norma 4.4 de las Normas generales de control interno para el Sector Público indica que e</w:t>
      </w:r>
      <w:r w:rsidRPr="003F5283">
        <w:rPr>
          <w:rFonts w:ascii="Arial" w:hAnsi="Arial" w:cs="Arial"/>
          <w:lang w:eastAsia="es-CR"/>
        </w:rPr>
        <w:t>l jerarca y los titulares subordinados, según sus competencias,</w:t>
      </w:r>
      <w:r>
        <w:rPr>
          <w:rFonts w:ascii="Arial" w:hAnsi="Arial" w:cs="Arial"/>
          <w:lang w:eastAsia="es-CR"/>
        </w:rPr>
        <w:t xml:space="preserve"> </w:t>
      </w:r>
      <w:r w:rsidRPr="003F5283">
        <w:rPr>
          <w:rFonts w:ascii="Arial" w:hAnsi="Arial" w:cs="Arial"/>
          <w:lang w:eastAsia="es-CR"/>
        </w:rPr>
        <w:t>deben diseñar, adoptar, evaluar y perfeccionar las actividades de</w:t>
      </w:r>
      <w:r>
        <w:rPr>
          <w:rFonts w:ascii="Arial" w:hAnsi="Arial" w:cs="Arial"/>
          <w:lang w:eastAsia="es-CR"/>
        </w:rPr>
        <w:t xml:space="preserve"> </w:t>
      </w:r>
      <w:r w:rsidRPr="003F5283">
        <w:rPr>
          <w:rFonts w:ascii="Arial" w:hAnsi="Arial" w:cs="Arial"/>
          <w:lang w:eastAsia="es-CR"/>
        </w:rPr>
        <w:t>control pertinentes a fin de asegurar razonablemente que se</w:t>
      </w:r>
      <w:r>
        <w:rPr>
          <w:rFonts w:ascii="Arial" w:hAnsi="Arial" w:cs="Arial"/>
          <w:lang w:eastAsia="es-CR"/>
        </w:rPr>
        <w:t xml:space="preserve"> </w:t>
      </w:r>
      <w:r w:rsidRPr="003F5283">
        <w:rPr>
          <w:rFonts w:ascii="Arial" w:hAnsi="Arial" w:cs="Arial"/>
          <w:lang w:eastAsia="es-CR"/>
        </w:rPr>
        <w:t>recopile, procese, mantenga y custodie información de calidad</w:t>
      </w:r>
      <w:r>
        <w:rPr>
          <w:rFonts w:ascii="Arial" w:hAnsi="Arial" w:cs="Arial"/>
          <w:lang w:eastAsia="es-CR"/>
        </w:rPr>
        <w:t xml:space="preserve"> </w:t>
      </w:r>
      <w:r w:rsidRPr="003F5283">
        <w:rPr>
          <w:rFonts w:ascii="Arial" w:hAnsi="Arial" w:cs="Arial"/>
          <w:lang w:eastAsia="es-CR"/>
        </w:rPr>
        <w:t>sobre el funcionamiento del SCI y sobre el desempeño</w:t>
      </w:r>
      <w:r>
        <w:rPr>
          <w:rFonts w:ascii="Arial" w:hAnsi="Arial" w:cs="Arial"/>
          <w:lang w:eastAsia="es-CR"/>
        </w:rPr>
        <w:t xml:space="preserve"> </w:t>
      </w:r>
      <w:r w:rsidRPr="003F5283">
        <w:rPr>
          <w:rFonts w:ascii="Arial" w:hAnsi="Arial" w:cs="Arial"/>
          <w:lang w:eastAsia="es-CR"/>
        </w:rPr>
        <w:t>institucional, así como que esa información se comunique con la</w:t>
      </w:r>
      <w:r>
        <w:rPr>
          <w:rFonts w:ascii="Arial" w:hAnsi="Arial" w:cs="Arial"/>
          <w:lang w:eastAsia="es-CR"/>
        </w:rPr>
        <w:t xml:space="preserve"> </w:t>
      </w:r>
      <w:r w:rsidRPr="003F5283">
        <w:rPr>
          <w:rFonts w:ascii="Arial" w:hAnsi="Arial" w:cs="Arial"/>
          <w:lang w:eastAsia="es-CR"/>
        </w:rPr>
        <w:t>prontitud requerida a las instancias internas y externas</w:t>
      </w:r>
      <w:r>
        <w:rPr>
          <w:rFonts w:ascii="Arial" w:hAnsi="Arial" w:cs="Arial"/>
          <w:lang w:eastAsia="es-CR"/>
        </w:rPr>
        <w:t xml:space="preserve"> </w:t>
      </w:r>
      <w:r w:rsidRPr="003F5283">
        <w:rPr>
          <w:rFonts w:ascii="Arial" w:hAnsi="Arial" w:cs="Arial"/>
          <w:lang w:eastAsia="es-CR"/>
        </w:rPr>
        <w:t>respectivas.</w:t>
      </w:r>
    </w:p>
    <w:p w14:paraId="471CFBDA" w14:textId="77777777" w:rsidR="003F5283" w:rsidRDefault="003F5283" w:rsidP="00387D65">
      <w:pPr>
        <w:autoSpaceDE w:val="0"/>
        <w:autoSpaceDN w:val="0"/>
        <w:adjustRightInd w:val="0"/>
        <w:spacing w:after="0" w:line="240" w:lineRule="auto"/>
        <w:contextualSpacing/>
        <w:jc w:val="both"/>
        <w:rPr>
          <w:rFonts w:ascii="Arial" w:hAnsi="Arial" w:cs="Arial"/>
          <w:lang w:eastAsia="es-CR"/>
        </w:rPr>
      </w:pPr>
    </w:p>
    <w:p w14:paraId="3DF6C62B" w14:textId="77777777" w:rsidR="003E15F7" w:rsidRDefault="003E15F7" w:rsidP="00387D65">
      <w:pPr>
        <w:spacing w:after="0" w:line="240" w:lineRule="auto"/>
        <w:jc w:val="both"/>
        <w:rPr>
          <w:rFonts w:ascii="Arial" w:hAnsi="Arial" w:cs="Arial"/>
        </w:rPr>
      </w:pPr>
      <w:r>
        <w:rPr>
          <w:rFonts w:ascii="Arial" w:hAnsi="Arial" w:cs="Arial"/>
        </w:rPr>
        <w:t>Al respecto, la</w:t>
      </w:r>
      <w:r w:rsidRPr="003E15F7">
        <w:rPr>
          <w:rFonts w:ascii="Arial" w:hAnsi="Arial" w:cs="Arial"/>
          <w:lang w:eastAsia="es-CR"/>
        </w:rPr>
        <w:t xml:space="preserve"> </w:t>
      </w:r>
      <w:r w:rsidRPr="00CA1AF6">
        <w:rPr>
          <w:rFonts w:ascii="Arial" w:hAnsi="Arial" w:cs="Arial"/>
          <w:lang w:eastAsia="es-CR"/>
        </w:rPr>
        <w:t>División de Adeudos Estatales</w:t>
      </w:r>
      <w:r>
        <w:rPr>
          <w:rFonts w:ascii="Arial" w:hAnsi="Arial" w:cs="Arial"/>
        </w:rPr>
        <w:t xml:space="preserve"> n</w:t>
      </w:r>
      <w:r w:rsidRPr="00C2511F">
        <w:rPr>
          <w:rFonts w:ascii="Arial" w:hAnsi="Arial" w:cs="Arial"/>
        </w:rPr>
        <w:t xml:space="preserve">o dispone de controles válidos y suficientes </w:t>
      </w:r>
      <w:r>
        <w:rPr>
          <w:rFonts w:ascii="Arial" w:hAnsi="Arial" w:cs="Arial"/>
        </w:rPr>
        <w:t>en el archivo de expedientes, por cuanto no se ha demostrado que se hayan solventado las debilidades relacionadas con</w:t>
      </w:r>
      <w:r w:rsidRPr="00C2511F">
        <w:rPr>
          <w:rFonts w:ascii="Arial" w:hAnsi="Arial" w:cs="Arial"/>
        </w:rPr>
        <w:t>:</w:t>
      </w:r>
    </w:p>
    <w:p w14:paraId="3F1D2FA5" w14:textId="77777777" w:rsidR="00387D65" w:rsidRPr="00C2511F" w:rsidRDefault="00387D65" w:rsidP="00387D65">
      <w:pPr>
        <w:spacing w:after="0" w:line="240" w:lineRule="auto"/>
        <w:jc w:val="both"/>
        <w:rPr>
          <w:rFonts w:ascii="Arial" w:hAnsi="Arial" w:cs="Arial"/>
        </w:rPr>
      </w:pPr>
    </w:p>
    <w:p w14:paraId="5DB9A67B" w14:textId="77777777" w:rsidR="003E15F7" w:rsidRDefault="003E15F7" w:rsidP="00387D65">
      <w:pPr>
        <w:pStyle w:val="Prrafodelista"/>
        <w:numPr>
          <w:ilvl w:val="0"/>
          <w:numId w:val="37"/>
        </w:numPr>
        <w:spacing w:after="0" w:line="240" w:lineRule="auto"/>
        <w:jc w:val="both"/>
        <w:rPr>
          <w:rFonts w:ascii="Arial" w:hAnsi="Arial" w:cs="Arial"/>
        </w:rPr>
      </w:pPr>
      <w:r w:rsidRPr="003E15F7">
        <w:rPr>
          <w:rFonts w:ascii="Arial" w:hAnsi="Arial" w:cs="Arial"/>
        </w:rPr>
        <w:t>La numeración o codificación de áreas de custodia de expedientes, así como su disposición en el sistema informático y físico.</w:t>
      </w:r>
    </w:p>
    <w:p w14:paraId="363498D9" w14:textId="77777777" w:rsidR="003E15F7" w:rsidRDefault="003E15F7" w:rsidP="00387D65">
      <w:pPr>
        <w:pStyle w:val="Prrafodelista"/>
        <w:spacing w:after="0" w:line="240" w:lineRule="auto"/>
        <w:jc w:val="both"/>
        <w:rPr>
          <w:rFonts w:ascii="Arial" w:hAnsi="Arial" w:cs="Arial"/>
        </w:rPr>
      </w:pPr>
    </w:p>
    <w:p w14:paraId="1AD88058" w14:textId="77777777" w:rsidR="003E15F7" w:rsidRDefault="003E15F7" w:rsidP="00387D65">
      <w:pPr>
        <w:pStyle w:val="Prrafodelista"/>
        <w:numPr>
          <w:ilvl w:val="0"/>
          <w:numId w:val="37"/>
        </w:numPr>
        <w:spacing w:after="0" w:line="240" w:lineRule="auto"/>
        <w:jc w:val="both"/>
        <w:rPr>
          <w:rFonts w:ascii="Arial" w:hAnsi="Arial" w:cs="Arial"/>
        </w:rPr>
      </w:pPr>
      <w:r w:rsidRPr="003E15F7">
        <w:rPr>
          <w:rFonts w:ascii="Arial" w:hAnsi="Arial" w:cs="Arial"/>
        </w:rPr>
        <w:t>El inventario de expedientes en custodia, asignados a funcionarios, devueltos y otros.</w:t>
      </w:r>
    </w:p>
    <w:p w14:paraId="7EC07CB1" w14:textId="77777777" w:rsidR="003E15F7" w:rsidRPr="003E15F7" w:rsidRDefault="003E15F7" w:rsidP="00387D65">
      <w:pPr>
        <w:pStyle w:val="Prrafodelista"/>
        <w:spacing w:after="0" w:line="240" w:lineRule="auto"/>
        <w:rPr>
          <w:rFonts w:ascii="Arial" w:hAnsi="Arial" w:cs="Arial"/>
        </w:rPr>
      </w:pPr>
    </w:p>
    <w:p w14:paraId="397C9281" w14:textId="77777777" w:rsidR="003E15F7" w:rsidRPr="003E15F7" w:rsidRDefault="003E15F7" w:rsidP="00387D65">
      <w:pPr>
        <w:pStyle w:val="Prrafodelista"/>
        <w:numPr>
          <w:ilvl w:val="0"/>
          <w:numId w:val="37"/>
        </w:numPr>
        <w:spacing w:after="0" w:line="240" w:lineRule="auto"/>
        <w:jc w:val="both"/>
        <w:rPr>
          <w:rFonts w:ascii="Arial" w:hAnsi="Arial" w:cs="Arial"/>
        </w:rPr>
      </w:pPr>
      <w:r w:rsidRPr="003E15F7">
        <w:rPr>
          <w:rFonts w:ascii="Arial" w:hAnsi="Arial" w:cs="Arial"/>
        </w:rPr>
        <w:t>Los roles debidamente establecidos en lo relacionado al uso del sistema acorde con las funciones establecidas a cada puesto.</w:t>
      </w:r>
    </w:p>
    <w:p w14:paraId="7B0D309B" w14:textId="77777777" w:rsidR="003E15F7" w:rsidRDefault="003E15F7" w:rsidP="00387D65">
      <w:pPr>
        <w:autoSpaceDE w:val="0"/>
        <w:autoSpaceDN w:val="0"/>
        <w:adjustRightInd w:val="0"/>
        <w:spacing w:after="0" w:line="240" w:lineRule="auto"/>
        <w:contextualSpacing/>
        <w:jc w:val="both"/>
        <w:rPr>
          <w:rFonts w:ascii="Arial" w:hAnsi="Arial" w:cs="Arial"/>
          <w:lang w:eastAsia="es-CR"/>
        </w:rPr>
      </w:pPr>
    </w:p>
    <w:p w14:paraId="440EB108" w14:textId="77777777" w:rsidR="003E15F7" w:rsidRDefault="007B4CA3" w:rsidP="00387D65">
      <w:pPr>
        <w:autoSpaceDE w:val="0"/>
        <w:autoSpaceDN w:val="0"/>
        <w:adjustRightInd w:val="0"/>
        <w:spacing w:after="0" w:line="240" w:lineRule="auto"/>
        <w:contextualSpacing/>
        <w:jc w:val="both"/>
        <w:rPr>
          <w:rFonts w:ascii="Arial" w:hAnsi="Arial" w:cs="Arial"/>
        </w:rPr>
      </w:pPr>
      <w:r w:rsidRPr="00CA1AF6">
        <w:rPr>
          <w:rFonts w:ascii="Arial" w:hAnsi="Arial" w:cs="Arial"/>
          <w:lang w:eastAsia="es-CR"/>
        </w:rPr>
        <w:t xml:space="preserve">La </w:t>
      </w:r>
      <w:r w:rsidR="003E15F7">
        <w:rPr>
          <w:rFonts w:ascii="Arial" w:hAnsi="Arial" w:cs="Arial"/>
          <w:lang w:eastAsia="es-CR"/>
        </w:rPr>
        <w:t xml:space="preserve">causa de lo anterior </w:t>
      </w:r>
      <w:r w:rsidR="00590197">
        <w:rPr>
          <w:rFonts w:ascii="Arial" w:hAnsi="Arial" w:cs="Arial"/>
          <w:lang w:eastAsia="es-CR"/>
        </w:rPr>
        <w:t xml:space="preserve">se debe a que </w:t>
      </w:r>
      <w:r w:rsidR="003E15F7">
        <w:rPr>
          <w:rFonts w:ascii="Arial" w:hAnsi="Arial" w:cs="Arial"/>
          <w:lang w:eastAsia="es-CR"/>
        </w:rPr>
        <w:t xml:space="preserve">la </w:t>
      </w:r>
      <w:r w:rsidR="003E15F7" w:rsidRPr="00CA1AF6">
        <w:rPr>
          <w:rFonts w:ascii="Arial" w:hAnsi="Arial" w:cs="Arial"/>
          <w:lang w:eastAsia="es-CR"/>
        </w:rPr>
        <w:t>División de Adeudos Estatales</w:t>
      </w:r>
      <w:r w:rsidR="003E15F7">
        <w:rPr>
          <w:rFonts w:ascii="Arial" w:hAnsi="Arial" w:cs="Arial"/>
          <w:lang w:eastAsia="es-CR"/>
        </w:rPr>
        <w:t xml:space="preserve"> no cuenta con</w:t>
      </w:r>
      <w:r w:rsidR="00B50E1A">
        <w:rPr>
          <w:rFonts w:ascii="Arial" w:hAnsi="Arial" w:cs="Arial"/>
          <w:lang w:eastAsia="es-CR"/>
        </w:rPr>
        <w:t xml:space="preserve"> un documento</w:t>
      </w:r>
      <w:r w:rsidR="00C663E8">
        <w:rPr>
          <w:rFonts w:ascii="Arial" w:hAnsi="Arial" w:cs="Arial"/>
          <w:lang w:eastAsia="es-CR"/>
        </w:rPr>
        <w:t xml:space="preserve"> o procedimiento</w:t>
      </w:r>
      <w:r w:rsidR="00B50E1A">
        <w:rPr>
          <w:rFonts w:ascii="Arial" w:hAnsi="Arial" w:cs="Arial"/>
          <w:lang w:eastAsia="es-CR"/>
        </w:rPr>
        <w:t xml:space="preserve"> formal en el que se describa</w:t>
      </w:r>
      <w:r w:rsidR="003E15F7">
        <w:rPr>
          <w:rFonts w:ascii="Arial" w:hAnsi="Arial" w:cs="Arial"/>
          <w:lang w:eastAsia="es-CR"/>
        </w:rPr>
        <w:t xml:space="preserve"> </w:t>
      </w:r>
      <w:r w:rsidR="00B50E1A">
        <w:rPr>
          <w:rFonts w:ascii="Arial" w:hAnsi="Arial" w:cs="Arial"/>
          <w:lang w:eastAsia="es-CR"/>
        </w:rPr>
        <w:t>el proceso</w:t>
      </w:r>
      <w:r w:rsidR="003E15F7" w:rsidRPr="00C2511F">
        <w:rPr>
          <w:rFonts w:ascii="Arial" w:hAnsi="Arial" w:cs="Arial"/>
        </w:rPr>
        <w:t xml:space="preserve"> de cobro judicial</w:t>
      </w:r>
      <w:r w:rsidR="00B50E1A">
        <w:rPr>
          <w:rFonts w:ascii="Arial" w:hAnsi="Arial" w:cs="Arial"/>
        </w:rPr>
        <w:t>.</w:t>
      </w:r>
    </w:p>
    <w:p w14:paraId="02AA4A2A" w14:textId="77777777" w:rsidR="003E15F7" w:rsidRDefault="003E15F7" w:rsidP="00387D65">
      <w:pPr>
        <w:autoSpaceDE w:val="0"/>
        <w:autoSpaceDN w:val="0"/>
        <w:adjustRightInd w:val="0"/>
        <w:spacing w:after="0" w:line="240" w:lineRule="auto"/>
        <w:contextualSpacing/>
        <w:jc w:val="both"/>
        <w:rPr>
          <w:rFonts w:ascii="Arial" w:hAnsi="Arial" w:cs="Arial"/>
          <w:lang w:eastAsia="es-CR"/>
        </w:rPr>
      </w:pPr>
    </w:p>
    <w:p w14:paraId="59EBE0F5" w14:textId="77777777" w:rsidR="00541987" w:rsidRDefault="00590197"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 xml:space="preserve">Si bien, </w:t>
      </w:r>
      <w:r w:rsidR="003E15F7">
        <w:rPr>
          <w:rFonts w:ascii="Arial" w:hAnsi="Arial" w:cs="Arial"/>
          <w:lang w:eastAsia="es-CR"/>
        </w:rPr>
        <w:t xml:space="preserve">se </w:t>
      </w:r>
      <w:r w:rsidR="00D90E40" w:rsidRPr="00CA1AF6">
        <w:rPr>
          <w:rFonts w:ascii="Arial" w:hAnsi="Arial" w:cs="Arial"/>
          <w:lang w:eastAsia="es-CR"/>
        </w:rPr>
        <w:t xml:space="preserve">cuenta con </w:t>
      </w:r>
      <w:r w:rsidR="003F5283">
        <w:rPr>
          <w:rFonts w:ascii="Arial" w:hAnsi="Arial" w:cs="Arial"/>
          <w:lang w:eastAsia="es-CR"/>
        </w:rPr>
        <w:t>l</w:t>
      </w:r>
      <w:r w:rsidR="00D90E40" w:rsidRPr="00CA1AF6">
        <w:rPr>
          <w:rFonts w:ascii="Arial" w:hAnsi="Arial" w:cs="Arial"/>
          <w:lang w:eastAsia="es-CR"/>
        </w:rPr>
        <w:t xml:space="preserve">a </w:t>
      </w:r>
      <w:r w:rsidR="003F5283" w:rsidRPr="00CA1AF6">
        <w:rPr>
          <w:rFonts w:ascii="Arial" w:hAnsi="Arial" w:cs="Arial"/>
          <w:lang w:eastAsia="es-CR"/>
        </w:rPr>
        <w:t>Directriz DAE-D-001-2021</w:t>
      </w:r>
      <w:r w:rsidR="003F5283">
        <w:rPr>
          <w:rFonts w:ascii="Arial" w:hAnsi="Arial" w:cs="Arial"/>
          <w:lang w:eastAsia="es-CR"/>
        </w:rPr>
        <w:t xml:space="preserve">, </w:t>
      </w:r>
      <w:r w:rsidR="00D90E40" w:rsidRPr="00CA1AF6">
        <w:rPr>
          <w:rFonts w:ascii="Arial" w:hAnsi="Arial" w:cs="Arial"/>
          <w:lang w:eastAsia="es-CR"/>
        </w:rPr>
        <w:t xml:space="preserve">para la asignación, registro, gestión, devolución y terminación de los expedientes administrativos de Cobro Judicial e incorporación de documentos en las diferentes etapas del proceso, </w:t>
      </w:r>
      <w:r w:rsidR="003E15F7">
        <w:rPr>
          <w:rFonts w:ascii="Arial" w:hAnsi="Arial" w:cs="Arial"/>
          <w:lang w:eastAsia="es-CR"/>
        </w:rPr>
        <w:t>esta</w:t>
      </w:r>
      <w:r w:rsidR="00D90E40" w:rsidRPr="00CA1AF6">
        <w:rPr>
          <w:rFonts w:ascii="Arial" w:hAnsi="Arial" w:cs="Arial"/>
          <w:lang w:eastAsia="es-CR"/>
        </w:rPr>
        <w:t xml:space="preserve"> es ambigua en relación al borrado </w:t>
      </w:r>
      <w:r w:rsidR="006002DE" w:rsidRPr="00CA1AF6">
        <w:rPr>
          <w:rFonts w:ascii="Arial" w:hAnsi="Arial" w:cs="Arial"/>
          <w:lang w:eastAsia="es-CR"/>
        </w:rPr>
        <w:t>de información</w:t>
      </w:r>
      <w:r w:rsidR="00541987">
        <w:rPr>
          <w:rFonts w:ascii="Arial" w:hAnsi="Arial" w:cs="Arial"/>
          <w:lang w:eastAsia="es-CR"/>
        </w:rPr>
        <w:t xml:space="preserve">, </w:t>
      </w:r>
      <w:r w:rsidR="006002DE" w:rsidRPr="00CA1AF6">
        <w:rPr>
          <w:rFonts w:ascii="Arial" w:hAnsi="Arial" w:cs="Arial"/>
          <w:lang w:eastAsia="es-CR"/>
        </w:rPr>
        <w:t>en caso de presentarse algún incident</w:t>
      </w:r>
      <w:r w:rsidR="003F5283">
        <w:rPr>
          <w:rFonts w:ascii="Arial" w:hAnsi="Arial" w:cs="Arial"/>
          <w:lang w:eastAsia="es-CR"/>
        </w:rPr>
        <w:t>e</w:t>
      </w:r>
      <w:r w:rsidR="006002DE" w:rsidRPr="00CA1AF6">
        <w:rPr>
          <w:rFonts w:ascii="Arial" w:hAnsi="Arial" w:cs="Arial"/>
          <w:lang w:eastAsia="es-CR"/>
        </w:rPr>
        <w:t>, y el detalle de las funciones</w:t>
      </w:r>
      <w:r w:rsidR="00B62E14">
        <w:rPr>
          <w:rFonts w:ascii="Arial" w:hAnsi="Arial" w:cs="Arial"/>
          <w:lang w:eastAsia="es-CR"/>
        </w:rPr>
        <w:t xml:space="preserve"> asignadas a cada usuario del sistema</w:t>
      </w:r>
      <w:r w:rsidR="006002DE" w:rsidRPr="00CA1AF6">
        <w:rPr>
          <w:rFonts w:ascii="Arial" w:hAnsi="Arial" w:cs="Arial"/>
          <w:lang w:eastAsia="es-CR"/>
        </w:rPr>
        <w:t xml:space="preserve">, </w:t>
      </w:r>
      <w:r w:rsidR="00B62E14">
        <w:rPr>
          <w:rFonts w:ascii="Arial" w:hAnsi="Arial" w:cs="Arial"/>
          <w:lang w:eastAsia="es-CR"/>
        </w:rPr>
        <w:t xml:space="preserve">las que deben ser </w:t>
      </w:r>
      <w:r w:rsidR="006002DE" w:rsidRPr="00CA1AF6">
        <w:rPr>
          <w:rFonts w:ascii="Arial" w:hAnsi="Arial" w:cs="Arial"/>
          <w:lang w:eastAsia="es-CR"/>
        </w:rPr>
        <w:t xml:space="preserve">compatibles con </w:t>
      </w:r>
      <w:r w:rsidR="00726B27" w:rsidRPr="00CA1AF6">
        <w:rPr>
          <w:rFonts w:ascii="Arial" w:hAnsi="Arial" w:cs="Arial"/>
          <w:lang w:eastAsia="es-CR"/>
        </w:rPr>
        <w:t>los procesos de trabajo</w:t>
      </w:r>
      <w:r w:rsidR="002412A2" w:rsidRPr="00CA1AF6">
        <w:rPr>
          <w:rFonts w:ascii="Arial" w:hAnsi="Arial" w:cs="Arial"/>
          <w:lang w:eastAsia="es-CR"/>
        </w:rPr>
        <w:t>, según se report</w:t>
      </w:r>
      <w:r w:rsidR="003E15F7">
        <w:rPr>
          <w:rFonts w:ascii="Arial" w:hAnsi="Arial" w:cs="Arial"/>
          <w:lang w:eastAsia="es-CR"/>
        </w:rPr>
        <w:t>ó</w:t>
      </w:r>
      <w:r w:rsidR="002412A2" w:rsidRPr="00CA1AF6">
        <w:rPr>
          <w:rFonts w:ascii="Arial" w:hAnsi="Arial" w:cs="Arial"/>
          <w:lang w:eastAsia="es-CR"/>
        </w:rPr>
        <w:t xml:space="preserve"> en las recomendaciones 3.4</w:t>
      </w:r>
      <w:r w:rsidR="003E15F7">
        <w:rPr>
          <w:rFonts w:ascii="Arial" w:hAnsi="Arial" w:cs="Arial"/>
          <w:lang w:eastAsia="es-CR"/>
        </w:rPr>
        <w:t xml:space="preserve"> y</w:t>
      </w:r>
      <w:r w:rsidR="002412A2" w:rsidRPr="00CA1AF6">
        <w:rPr>
          <w:rFonts w:ascii="Arial" w:hAnsi="Arial" w:cs="Arial"/>
          <w:lang w:eastAsia="es-CR"/>
        </w:rPr>
        <w:t xml:space="preserve"> 3.5 del Informe DGAI-INF-002-2017</w:t>
      </w:r>
      <w:r w:rsidR="00E763AA">
        <w:rPr>
          <w:rFonts w:ascii="Arial" w:hAnsi="Arial" w:cs="Arial"/>
          <w:lang w:eastAsia="es-CR"/>
        </w:rPr>
        <w:t xml:space="preserve">, </w:t>
      </w:r>
      <w:r w:rsidR="00541987">
        <w:rPr>
          <w:rFonts w:ascii="Arial" w:hAnsi="Arial" w:cs="Arial"/>
          <w:lang w:eastAsia="es-CR"/>
        </w:rPr>
        <w:t xml:space="preserve">asimismo, dentro de dicha directriz se asignan tareas a entes externos a la División, </w:t>
      </w:r>
      <w:r w:rsidR="003F5283">
        <w:rPr>
          <w:rFonts w:ascii="Arial" w:hAnsi="Arial" w:cs="Arial"/>
          <w:lang w:eastAsia="es-CR"/>
        </w:rPr>
        <w:t xml:space="preserve">incluyendo a una empresa privada, de forma tal que se </w:t>
      </w:r>
      <w:r w:rsidR="00387D65">
        <w:rPr>
          <w:rFonts w:ascii="Arial" w:hAnsi="Arial" w:cs="Arial"/>
          <w:lang w:eastAsia="es-CR"/>
        </w:rPr>
        <w:t>compromete</w:t>
      </w:r>
      <w:r w:rsidR="003F5283">
        <w:rPr>
          <w:rFonts w:ascii="Arial" w:hAnsi="Arial" w:cs="Arial"/>
          <w:lang w:eastAsia="es-CR"/>
        </w:rPr>
        <w:t xml:space="preserve"> su aplicabilidad.</w:t>
      </w:r>
    </w:p>
    <w:p w14:paraId="4921FD95" w14:textId="77777777" w:rsidR="00541987" w:rsidRDefault="00541987" w:rsidP="00387D65">
      <w:pPr>
        <w:autoSpaceDE w:val="0"/>
        <w:autoSpaceDN w:val="0"/>
        <w:adjustRightInd w:val="0"/>
        <w:spacing w:after="0" w:line="240" w:lineRule="auto"/>
        <w:contextualSpacing/>
        <w:jc w:val="both"/>
        <w:rPr>
          <w:rFonts w:ascii="Arial" w:hAnsi="Arial" w:cs="Arial"/>
          <w:highlight w:val="lightGray"/>
          <w:lang w:eastAsia="es-CR"/>
        </w:rPr>
      </w:pPr>
    </w:p>
    <w:p w14:paraId="380A2129" w14:textId="77777777" w:rsidR="00541987" w:rsidRDefault="003F5283" w:rsidP="00387D65">
      <w:pPr>
        <w:autoSpaceDE w:val="0"/>
        <w:autoSpaceDN w:val="0"/>
        <w:adjustRightInd w:val="0"/>
        <w:spacing w:after="0" w:line="240" w:lineRule="auto"/>
        <w:contextualSpacing/>
        <w:jc w:val="both"/>
        <w:rPr>
          <w:rFonts w:ascii="Arial" w:hAnsi="Arial" w:cs="Arial"/>
          <w:lang w:eastAsia="es-CR"/>
        </w:rPr>
      </w:pPr>
      <w:r>
        <w:rPr>
          <w:rFonts w:ascii="Arial" w:hAnsi="Arial" w:cs="Arial"/>
        </w:rPr>
        <w:t>Con lo mencionado se incrementa el riesgo de i</w:t>
      </w:r>
      <w:r w:rsidRPr="002770BD">
        <w:rPr>
          <w:rFonts w:ascii="Arial" w:hAnsi="Arial" w:cs="Arial"/>
        </w:rPr>
        <w:t xml:space="preserve">ncurrir en mal manejo de </w:t>
      </w:r>
      <w:r>
        <w:rPr>
          <w:rFonts w:ascii="Arial" w:hAnsi="Arial" w:cs="Arial"/>
        </w:rPr>
        <w:t>los</w:t>
      </w:r>
      <w:r w:rsidRPr="002770BD">
        <w:rPr>
          <w:rFonts w:ascii="Arial" w:hAnsi="Arial" w:cs="Arial"/>
        </w:rPr>
        <w:t xml:space="preserve"> expediente</w:t>
      </w:r>
      <w:r>
        <w:rPr>
          <w:rFonts w:ascii="Arial" w:hAnsi="Arial" w:cs="Arial"/>
        </w:rPr>
        <w:t xml:space="preserve">s, así como el riesgo de su pérdida. </w:t>
      </w:r>
      <w:r w:rsidRPr="002770BD">
        <w:rPr>
          <w:rFonts w:ascii="Arial" w:hAnsi="Arial" w:cs="Arial"/>
        </w:rPr>
        <w:t xml:space="preserve"> </w:t>
      </w:r>
    </w:p>
    <w:p w14:paraId="77A6E82D" w14:textId="77777777" w:rsidR="00B62E14" w:rsidRDefault="00B62E14" w:rsidP="00387D65">
      <w:pPr>
        <w:spacing w:after="0" w:line="240" w:lineRule="auto"/>
        <w:jc w:val="both"/>
        <w:rPr>
          <w:rFonts w:ascii="Arial" w:hAnsi="Arial" w:cs="Arial"/>
        </w:rPr>
      </w:pPr>
    </w:p>
    <w:p w14:paraId="5925EEB9" w14:textId="77777777" w:rsidR="006A5CA9" w:rsidRDefault="006A5CA9" w:rsidP="00387D65">
      <w:pPr>
        <w:spacing w:after="0" w:line="240" w:lineRule="auto"/>
        <w:jc w:val="both"/>
        <w:rPr>
          <w:rFonts w:ascii="Arial" w:hAnsi="Arial" w:cs="Arial"/>
        </w:rPr>
      </w:pPr>
    </w:p>
    <w:p w14:paraId="1F440A19" w14:textId="77777777" w:rsidR="00590197" w:rsidRDefault="00767759" w:rsidP="0097229D">
      <w:pPr>
        <w:pStyle w:val="Ttulo1"/>
        <w:keepNext w:val="0"/>
        <w:keepLines w:val="0"/>
        <w:spacing w:before="0" w:after="0"/>
        <w:contextualSpacing/>
        <w:jc w:val="both"/>
        <w:rPr>
          <w:rFonts w:ascii="Arial" w:hAnsi="Arial" w:cs="Arial"/>
          <w:b/>
          <w:bCs/>
          <w:color w:val="44546A" w:themeColor="text2"/>
          <w:kern w:val="28"/>
          <w:sz w:val="24"/>
          <w:szCs w:val="24"/>
          <w:lang w:eastAsia="es-ES"/>
        </w:rPr>
      </w:pPr>
      <w:bookmarkStart w:id="48" w:name="_Hlk116390821"/>
      <w:bookmarkStart w:id="49" w:name="_Toc119920106"/>
      <w:r>
        <w:rPr>
          <w:rFonts w:ascii="Arial" w:hAnsi="Arial" w:cs="Arial"/>
          <w:b/>
          <w:bCs/>
          <w:color w:val="44546A" w:themeColor="text2"/>
          <w:kern w:val="28"/>
          <w:sz w:val="24"/>
          <w:szCs w:val="24"/>
          <w:lang w:eastAsia="es-ES"/>
        </w:rPr>
        <w:t xml:space="preserve">2.2.3 </w:t>
      </w:r>
      <w:r w:rsidR="00B62E14" w:rsidRPr="00A3234A">
        <w:rPr>
          <w:rFonts w:ascii="Arial" w:hAnsi="Arial" w:cs="Arial"/>
          <w:b/>
          <w:bCs/>
          <w:color w:val="44546A" w:themeColor="text2"/>
          <w:kern w:val="28"/>
          <w:sz w:val="24"/>
          <w:szCs w:val="24"/>
          <w:lang w:eastAsia="es-ES"/>
        </w:rPr>
        <w:t xml:space="preserve">Sobre los controles </w:t>
      </w:r>
      <w:r w:rsidR="00D46C6E" w:rsidRPr="00D46C6E">
        <w:rPr>
          <w:rFonts w:ascii="Arial" w:hAnsi="Arial" w:cs="Arial"/>
          <w:b/>
          <w:bCs/>
          <w:color w:val="44546A" w:themeColor="text2"/>
          <w:kern w:val="28"/>
          <w:sz w:val="24"/>
          <w:szCs w:val="24"/>
          <w:lang w:eastAsia="es-ES"/>
        </w:rPr>
        <w:t>establecidos en el manejo de los expedientes físicos</w:t>
      </w:r>
      <w:r w:rsidR="00B62E14" w:rsidRPr="00A3234A">
        <w:rPr>
          <w:rFonts w:ascii="Arial" w:hAnsi="Arial" w:cs="Arial"/>
          <w:b/>
          <w:bCs/>
          <w:color w:val="44546A" w:themeColor="text2"/>
          <w:kern w:val="28"/>
          <w:sz w:val="24"/>
          <w:szCs w:val="24"/>
          <w:lang w:eastAsia="es-ES"/>
        </w:rPr>
        <w:t>.</w:t>
      </w:r>
      <w:bookmarkEnd w:id="48"/>
      <w:bookmarkEnd w:id="49"/>
    </w:p>
    <w:p w14:paraId="10442139" w14:textId="77777777" w:rsidR="00B50E1A" w:rsidRDefault="00B50E1A" w:rsidP="00387D65">
      <w:pPr>
        <w:autoSpaceDE w:val="0"/>
        <w:autoSpaceDN w:val="0"/>
        <w:adjustRightInd w:val="0"/>
        <w:spacing w:after="0" w:line="240" w:lineRule="auto"/>
        <w:contextualSpacing/>
        <w:jc w:val="both"/>
        <w:rPr>
          <w:rFonts w:ascii="Arial" w:hAnsi="Arial" w:cs="Arial"/>
          <w:lang w:eastAsia="es-CR"/>
        </w:rPr>
      </w:pPr>
    </w:p>
    <w:p w14:paraId="20BB4DC4" w14:textId="77777777" w:rsidR="00AE7A47" w:rsidRDefault="00F30E52"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La</w:t>
      </w:r>
      <w:r w:rsidR="00AE7A47">
        <w:rPr>
          <w:rFonts w:ascii="Arial" w:hAnsi="Arial" w:cs="Arial"/>
          <w:lang w:eastAsia="es-CR"/>
        </w:rPr>
        <w:t xml:space="preserve"> norma 5.9 de las Normas </w:t>
      </w:r>
      <w:r w:rsidR="00AE7A47" w:rsidRPr="00AE7A47">
        <w:rPr>
          <w:rFonts w:ascii="Arial" w:hAnsi="Arial" w:cs="Arial"/>
          <w:lang w:eastAsia="es-CR"/>
        </w:rPr>
        <w:t>del Sector</w:t>
      </w:r>
      <w:r w:rsidR="00AE7A47">
        <w:rPr>
          <w:rFonts w:ascii="Arial" w:hAnsi="Arial" w:cs="Arial"/>
          <w:lang w:eastAsia="es-CR"/>
        </w:rPr>
        <w:t xml:space="preserve"> Público</w:t>
      </w:r>
      <w:r w:rsidR="00B50E1A">
        <w:rPr>
          <w:rFonts w:ascii="Arial" w:hAnsi="Arial" w:cs="Arial"/>
          <w:lang w:eastAsia="es-CR"/>
        </w:rPr>
        <w:t>,</w:t>
      </w:r>
      <w:r w:rsidR="00AE7A47">
        <w:rPr>
          <w:rFonts w:ascii="Arial" w:hAnsi="Arial" w:cs="Arial"/>
          <w:lang w:eastAsia="es-CR"/>
        </w:rPr>
        <w:t xml:space="preserve"> establece que se debe propiciar el aprovechamiento de tecnologías de información que apoyen la gestión institucional mediante el manejo apropiado de la información y la implementación de soluciones ágiles y de amplio alcance. También indica que se deben instaurar los mecanismos y procedimientos manuales que permitan garantizar razonablemente la operación continua y correcta de los sistemas de información.</w:t>
      </w:r>
    </w:p>
    <w:p w14:paraId="4CA32BAC" w14:textId="77777777" w:rsidR="00B50E1A" w:rsidRDefault="00B50E1A" w:rsidP="00387D65">
      <w:pPr>
        <w:spacing w:after="0" w:line="240" w:lineRule="auto"/>
        <w:jc w:val="both"/>
        <w:rPr>
          <w:rFonts w:ascii="Arial" w:hAnsi="Arial" w:cs="Arial"/>
        </w:rPr>
      </w:pPr>
    </w:p>
    <w:p w14:paraId="2ACF4CAA" w14:textId="77777777" w:rsidR="00590197" w:rsidRDefault="006447CD" w:rsidP="00387D65">
      <w:pPr>
        <w:spacing w:after="0" w:line="240" w:lineRule="auto"/>
        <w:jc w:val="both"/>
        <w:rPr>
          <w:rFonts w:ascii="Arial" w:hAnsi="Arial" w:cs="Arial"/>
        </w:rPr>
      </w:pPr>
      <w:r>
        <w:rPr>
          <w:rFonts w:ascii="Arial" w:hAnsi="Arial" w:cs="Arial"/>
        </w:rPr>
        <w:t xml:space="preserve">Con respecto al estado de los expedientes de cobro judicial, </w:t>
      </w:r>
      <w:r w:rsidR="006A5CA9">
        <w:rPr>
          <w:rFonts w:ascii="Arial" w:hAnsi="Arial" w:cs="Arial"/>
        </w:rPr>
        <w:t xml:space="preserve">se continúa el almacenamiento </w:t>
      </w:r>
      <w:r>
        <w:rPr>
          <w:rFonts w:ascii="Arial" w:hAnsi="Arial" w:cs="Arial"/>
        </w:rPr>
        <w:t xml:space="preserve"> de </w:t>
      </w:r>
      <w:r w:rsidRPr="002770BD">
        <w:rPr>
          <w:rFonts w:ascii="Arial" w:hAnsi="Arial" w:cs="Arial"/>
        </w:rPr>
        <w:t>documentos en cajas</w:t>
      </w:r>
      <w:r>
        <w:rPr>
          <w:rFonts w:ascii="Arial" w:hAnsi="Arial" w:cs="Arial"/>
        </w:rPr>
        <w:t>, de los cuales</w:t>
      </w:r>
      <w:r w:rsidRPr="002770BD">
        <w:rPr>
          <w:rFonts w:ascii="Arial" w:hAnsi="Arial" w:cs="Arial"/>
        </w:rPr>
        <w:t xml:space="preserve"> </w:t>
      </w:r>
      <w:r>
        <w:rPr>
          <w:rFonts w:ascii="Arial" w:hAnsi="Arial" w:cs="Arial"/>
        </w:rPr>
        <w:t>se desconoce</w:t>
      </w:r>
      <w:r w:rsidRPr="002770BD">
        <w:rPr>
          <w:rFonts w:ascii="Arial" w:hAnsi="Arial" w:cs="Arial"/>
        </w:rPr>
        <w:t xml:space="preserve"> la vigencia legal del documento</w:t>
      </w:r>
      <w:r>
        <w:rPr>
          <w:rFonts w:ascii="Arial" w:hAnsi="Arial" w:cs="Arial"/>
        </w:rPr>
        <w:t xml:space="preserve">, no se han definido aspectos sobre </w:t>
      </w:r>
      <w:r w:rsidR="006A5CA9">
        <w:rPr>
          <w:rFonts w:ascii="Arial" w:hAnsi="Arial" w:cs="Arial"/>
        </w:rPr>
        <w:t>la</w:t>
      </w:r>
      <w:r w:rsidRPr="002770BD">
        <w:rPr>
          <w:rFonts w:ascii="Arial" w:hAnsi="Arial" w:cs="Arial"/>
        </w:rPr>
        <w:t xml:space="preserve"> custodia, clasificación y disposición de la documentación</w:t>
      </w:r>
      <w:r>
        <w:rPr>
          <w:rFonts w:ascii="Arial" w:hAnsi="Arial" w:cs="Arial"/>
        </w:rPr>
        <w:t xml:space="preserve"> y se desconoce si se encuentra autorizada la</w:t>
      </w:r>
      <w:r w:rsidRPr="002770BD">
        <w:rPr>
          <w:rFonts w:ascii="Arial" w:hAnsi="Arial" w:cs="Arial"/>
        </w:rPr>
        <w:t xml:space="preserve"> tabla de plazos</w:t>
      </w:r>
      <w:r>
        <w:rPr>
          <w:rFonts w:ascii="Arial" w:hAnsi="Arial" w:cs="Arial"/>
        </w:rPr>
        <w:t>,</w:t>
      </w:r>
      <w:r w:rsidRPr="002770BD">
        <w:rPr>
          <w:rFonts w:ascii="Arial" w:hAnsi="Arial" w:cs="Arial"/>
        </w:rPr>
        <w:t xml:space="preserve"> que permit</w:t>
      </w:r>
      <w:r>
        <w:rPr>
          <w:rFonts w:ascii="Arial" w:hAnsi="Arial" w:cs="Arial"/>
        </w:rPr>
        <w:t>a</w:t>
      </w:r>
      <w:r w:rsidRPr="002770BD">
        <w:rPr>
          <w:rFonts w:ascii="Arial" w:hAnsi="Arial" w:cs="Arial"/>
        </w:rPr>
        <w:t xml:space="preserve"> establecer la vigencia legal de la documentación</w:t>
      </w:r>
      <w:r w:rsidR="00AE7A47">
        <w:rPr>
          <w:rFonts w:ascii="Arial" w:hAnsi="Arial" w:cs="Arial"/>
        </w:rPr>
        <w:t xml:space="preserve">, así reportado </w:t>
      </w:r>
      <w:r w:rsidR="003C116B">
        <w:rPr>
          <w:rFonts w:ascii="Arial" w:hAnsi="Arial" w:cs="Arial"/>
        </w:rPr>
        <w:t xml:space="preserve">en </w:t>
      </w:r>
      <w:r w:rsidR="00AE7A47" w:rsidRPr="001B5F07">
        <w:rPr>
          <w:rFonts w:ascii="Arial" w:hAnsi="Arial" w:cs="Arial"/>
          <w:lang w:eastAsia="es-CR"/>
        </w:rPr>
        <w:t>la recomendación 4.3 del Informe AI-INF-025-2017</w:t>
      </w:r>
      <w:r w:rsidR="006A5CA9">
        <w:rPr>
          <w:rFonts w:ascii="Arial" w:hAnsi="Arial" w:cs="Arial"/>
          <w:lang w:eastAsia="es-CR"/>
        </w:rPr>
        <w:t xml:space="preserve"> en la </w:t>
      </w:r>
      <w:r w:rsidR="003C116B">
        <w:rPr>
          <w:rFonts w:ascii="Arial" w:hAnsi="Arial" w:cs="Arial"/>
          <w:lang w:eastAsia="es-CR"/>
        </w:rPr>
        <w:t xml:space="preserve">cual </w:t>
      </w:r>
      <w:r w:rsidR="006A5CA9">
        <w:rPr>
          <w:rFonts w:ascii="Arial" w:hAnsi="Arial" w:cs="Arial"/>
          <w:lang w:eastAsia="es-CR"/>
        </w:rPr>
        <w:t>se recomendó el establecimiento de</w:t>
      </w:r>
      <w:r w:rsidR="00AE7A47" w:rsidRPr="001B5F07">
        <w:rPr>
          <w:rFonts w:ascii="Arial" w:hAnsi="Arial" w:cs="Arial"/>
          <w:lang w:eastAsia="es-CR"/>
        </w:rPr>
        <w:t xml:space="preserve"> controles para asegurar la trazabilidad y gestión de </w:t>
      </w:r>
      <w:r w:rsidR="006A5CA9">
        <w:rPr>
          <w:rFonts w:ascii="Arial" w:hAnsi="Arial" w:cs="Arial"/>
          <w:lang w:eastAsia="es-CR"/>
        </w:rPr>
        <w:t>los</w:t>
      </w:r>
      <w:r w:rsidR="00AE7A47" w:rsidRPr="001B5F07">
        <w:rPr>
          <w:rFonts w:ascii="Arial" w:hAnsi="Arial" w:cs="Arial"/>
          <w:lang w:eastAsia="es-CR"/>
        </w:rPr>
        <w:t xml:space="preserve"> expediente</w:t>
      </w:r>
      <w:r w:rsidR="006A5CA9">
        <w:rPr>
          <w:rFonts w:ascii="Arial" w:hAnsi="Arial" w:cs="Arial"/>
          <w:lang w:eastAsia="es-CR"/>
        </w:rPr>
        <w:t>s</w:t>
      </w:r>
      <w:r w:rsidR="00AE7A47" w:rsidRPr="001B5F07">
        <w:rPr>
          <w:rFonts w:ascii="Arial" w:hAnsi="Arial" w:cs="Arial"/>
          <w:lang w:eastAsia="es-CR"/>
        </w:rPr>
        <w:t xml:space="preserve"> de cobro judicial</w:t>
      </w:r>
      <w:r w:rsidR="003C116B">
        <w:rPr>
          <w:rFonts w:ascii="Arial" w:hAnsi="Arial" w:cs="Arial"/>
          <w:lang w:eastAsia="es-CR"/>
        </w:rPr>
        <w:t>.</w:t>
      </w:r>
    </w:p>
    <w:p w14:paraId="6DBCCDCD" w14:textId="77777777" w:rsidR="00B50E1A" w:rsidRDefault="00B50E1A" w:rsidP="00387D65">
      <w:pPr>
        <w:spacing w:after="0" w:line="240" w:lineRule="auto"/>
        <w:jc w:val="both"/>
        <w:rPr>
          <w:rFonts w:ascii="Arial" w:hAnsi="Arial" w:cs="Arial"/>
        </w:rPr>
      </w:pPr>
    </w:p>
    <w:p w14:paraId="7F302C94" w14:textId="77777777" w:rsidR="006447CD" w:rsidRDefault="006447CD" w:rsidP="00387D65">
      <w:pPr>
        <w:spacing w:after="0" w:line="240" w:lineRule="auto"/>
        <w:jc w:val="both"/>
        <w:rPr>
          <w:rFonts w:ascii="Arial" w:hAnsi="Arial" w:cs="Arial"/>
        </w:rPr>
      </w:pPr>
      <w:r>
        <w:rPr>
          <w:rFonts w:ascii="Arial" w:hAnsi="Arial" w:cs="Arial"/>
        </w:rPr>
        <w:lastRenderedPageBreak/>
        <w:t>Lo anterior evidencia f</w:t>
      </w:r>
      <w:r w:rsidRPr="006447CD">
        <w:rPr>
          <w:rFonts w:ascii="Arial" w:hAnsi="Arial" w:cs="Arial"/>
        </w:rPr>
        <w:t>alta de coordinación con la Unidad de Archivo Institucional para establecer los controles sobre la administración de los documentos</w:t>
      </w:r>
      <w:r>
        <w:rPr>
          <w:rFonts w:ascii="Arial" w:hAnsi="Arial" w:cs="Arial"/>
        </w:rPr>
        <w:t xml:space="preserve">, lo que da como resultado una acumulación de documentos sin un inventario que permita conocer su estado actual, lo </w:t>
      </w:r>
      <w:r w:rsidR="00EE4A47">
        <w:rPr>
          <w:rFonts w:ascii="Arial" w:hAnsi="Arial" w:cs="Arial"/>
        </w:rPr>
        <w:t>cual</w:t>
      </w:r>
      <w:r w:rsidR="006A5CA9">
        <w:rPr>
          <w:rFonts w:ascii="Arial" w:hAnsi="Arial" w:cs="Arial"/>
        </w:rPr>
        <w:t xml:space="preserve"> tiene como efecto el incremento del </w:t>
      </w:r>
      <w:r>
        <w:rPr>
          <w:rFonts w:ascii="Arial" w:hAnsi="Arial" w:cs="Arial"/>
        </w:rPr>
        <w:t>riesgo de pérdida de documentos.</w:t>
      </w:r>
    </w:p>
    <w:p w14:paraId="762B1463" w14:textId="77777777" w:rsidR="00F1785B" w:rsidRDefault="00F1785B" w:rsidP="00387D65">
      <w:pPr>
        <w:autoSpaceDE w:val="0"/>
        <w:autoSpaceDN w:val="0"/>
        <w:adjustRightInd w:val="0"/>
        <w:spacing w:after="0" w:line="240" w:lineRule="auto"/>
        <w:contextualSpacing/>
        <w:jc w:val="both"/>
        <w:rPr>
          <w:rFonts w:ascii="Arial" w:hAnsi="Arial" w:cs="Arial"/>
          <w:lang w:eastAsia="es-CR"/>
        </w:rPr>
      </w:pPr>
    </w:p>
    <w:p w14:paraId="6DBA0615" w14:textId="77777777" w:rsidR="00F62262" w:rsidRDefault="00F62262" w:rsidP="00387D65">
      <w:pPr>
        <w:autoSpaceDE w:val="0"/>
        <w:autoSpaceDN w:val="0"/>
        <w:adjustRightInd w:val="0"/>
        <w:spacing w:after="0" w:line="240" w:lineRule="auto"/>
        <w:contextualSpacing/>
        <w:jc w:val="both"/>
        <w:rPr>
          <w:rFonts w:ascii="Arial" w:hAnsi="Arial" w:cs="Arial"/>
          <w:lang w:eastAsia="es-CR"/>
        </w:rPr>
      </w:pPr>
    </w:p>
    <w:p w14:paraId="14885808" w14:textId="77777777" w:rsidR="001B5F07" w:rsidRPr="00A3234A" w:rsidRDefault="00767759" w:rsidP="0097229D">
      <w:pPr>
        <w:pStyle w:val="Ttulo1"/>
        <w:keepNext w:val="0"/>
        <w:keepLines w:val="0"/>
        <w:spacing w:before="0" w:after="0"/>
        <w:ind w:left="141"/>
        <w:contextualSpacing/>
        <w:jc w:val="both"/>
        <w:rPr>
          <w:rFonts w:ascii="Arial" w:hAnsi="Arial" w:cs="Arial"/>
          <w:b/>
          <w:bCs/>
          <w:color w:val="44546A" w:themeColor="text2"/>
          <w:kern w:val="28"/>
          <w:sz w:val="24"/>
          <w:szCs w:val="24"/>
          <w:lang w:eastAsia="es-ES"/>
        </w:rPr>
      </w:pPr>
      <w:bookmarkStart w:id="50" w:name="_Toc119920107"/>
      <w:r>
        <w:rPr>
          <w:rFonts w:ascii="Arial" w:hAnsi="Arial" w:cs="Arial"/>
          <w:b/>
          <w:bCs/>
          <w:color w:val="44546A" w:themeColor="text2"/>
          <w:kern w:val="28"/>
          <w:sz w:val="24"/>
          <w:szCs w:val="24"/>
          <w:lang w:eastAsia="es-ES"/>
        </w:rPr>
        <w:t xml:space="preserve">2.2.4 </w:t>
      </w:r>
      <w:r w:rsidR="001B5F07" w:rsidRPr="00A3234A">
        <w:rPr>
          <w:rFonts w:ascii="Arial" w:hAnsi="Arial" w:cs="Arial"/>
          <w:b/>
          <w:bCs/>
          <w:color w:val="44546A" w:themeColor="text2"/>
          <w:kern w:val="28"/>
          <w:sz w:val="24"/>
          <w:szCs w:val="24"/>
          <w:lang w:eastAsia="es-ES"/>
        </w:rPr>
        <w:t xml:space="preserve">Sobre </w:t>
      </w:r>
      <w:r w:rsidR="003C116B">
        <w:rPr>
          <w:rFonts w:ascii="Arial" w:hAnsi="Arial" w:cs="Arial"/>
          <w:b/>
          <w:bCs/>
          <w:color w:val="44546A" w:themeColor="text2"/>
          <w:kern w:val="28"/>
          <w:sz w:val="24"/>
          <w:szCs w:val="24"/>
          <w:lang w:eastAsia="es-ES"/>
        </w:rPr>
        <w:t>expedientes no localizados y consignados como improcedentes y expedientes no localizados</w:t>
      </w:r>
      <w:r w:rsidR="001B5F07" w:rsidRPr="00A3234A">
        <w:rPr>
          <w:rFonts w:ascii="Arial" w:hAnsi="Arial" w:cs="Arial"/>
          <w:b/>
          <w:bCs/>
          <w:color w:val="44546A" w:themeColor="text2"/>
          <w:kern w:val="28"/>
          <w:sz w:val="24"/>
          <w:szCs w:val="24"/>
          <w:lang w:eastAsia="es-ES"/>
        </w:rPr>
        <w:t>.</w:t>
      </w:r>
      <w:bookmarkEnd w:id="50"/>
    </w:p>
    <w:p w14:paraId="4DA5DCE2" w14:textId="77777777" w:rsidR="001B5F07" w:rsidRDefault="001B5F07" w:rsidP="00387D65">
      <w:pPr>
        <w:autoSpaceDE w:val="0"/>
        <w:autoSpaceDN w:val="0"/>
        <w:adjustRightInd w:val="0"/>
        <w:spacing w:after="0" w:line="240" w:lineRule="auto"/>
        <w:contextualSpacing/>
        <w:jc w:val="both"/>
        <w:rPr>
          <w:rFonts w:ascii="Arial" w:hAnsi="Arial" w:cs="Arial"/>
          <w:lang w:eastAsia="es-CR"/>
        </w:rPr>
      </w:pPr>
    </w:p>
    <w:p w14:paraId="6F17A9DB"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Tal y como se comentó anteriormente, l</w:t>
      </w:r>
      <w:r w:rsidRPr="00CA1AF6">
        <w:rPr>
          <w:rFonts w:ascii="Arial" w:hAnsi="Arial" w:cs="Arial"/>
          <w:lang w:eastAsia="es-CR"/>
        </w:rPr>
        <w:t>a</w:t>
      </w:r>
      <w:r>
        <w:rPr>
          <w:rFonts w:ascii="Arial" w:hAnsi="Arial" w:cs="Arial"/>
          <w:lang w:eastAsia="es-CR"/>
        </w:rPr>
        <w:t xml:space="preserve"> norma </w:t>
      </w:r>
      <w:r w:rsidRPr="00CA1AF6">
        <w:rPr>
          <w:rFonts w:ascii="Arial" w:hAnsi="Arial" w:cs="Arial"/>
          <w:lang w:eastAsia="es-CR"/>
        </w:rPr>
        <w:t>4.4.1</w:t>
      </w:r>
      <w:r>
        <w:rPr>
          <w:rFonts w:ascii="Arial" w:hAnsi="Arial" w:cs="Arial"/>
          <w:lang w:eastAsia="es-CR"/>
        </w:rPr>
        <w:t xml:space="preserve"> de las Normas </w:t>
      </w:r>
      <w:r w:rsidRPr="00CA1AF6">
        <w:rPr>
          <w:rFonts w:ascii="Arial" w:hAnsi="Arial" w:cs="Arial"/>
          <w:lang w:eastAsia="es-CR"/>
        </w:rPr>
        <w:t xml:space="preserve">de control interno para el Sector Público (N-2-2009-CO-DFOE), se refiere a las responsabilidades del jerarca y los titulares subordinados, de establecer las medidas pertinentes para que los actos de la gestión institucional, sus resultados y otros eventos relevantes, se registren y documenten en el lapso adecuado y conveniente, y se garanticen razonablemente la confidencialidad y el acceso a la información pública. </w:t>
      </w:r>
    </w:p>
    <w:p w14:paraId="79DC3C01"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p>
    <w:p w14:paraId="10F6DF89"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Al momento de</w:t>
      </w:r>
      <w:r w:rsidR="00B50E1A">
        <w:rPr>
          <w:rFonts w:ascii="Arial" w:hAnsi="Arial" w:cs="Arial"/>
          <w:lang w:eastAsia="es-CR"/>
        </w:rPr>
        <w:t xml:space="preserve"> </w:t>
      </w:r>
      <w:r>
        <w:rPr>
          <w:rFonts w:ascii="Arial" w:hAnsi="Arial" w:cs="Arial"/>
          <w:lang w:eastAsia="es-CR"/>
        </w:rPr>
        <w:t>l</w:t>
      </w:r>
      <w:r w:rsidR="00B50E1A">
        <w:rPr>
          <w:rFonts w:ascii="Arial" w:hAnsi="Arial" w:cs="Arial"/>
          <w:lang w:eastAsia="es-CR"/>
        </w:rPr>
        <w:t>a ejecución de este</w:t>
      </w:r>
      <w:r>
        <w:rPr>
          <w:rFonts w:ascii="Arial" w:hAnsi="Arial" w:cs="Arial"/>
          <w:lang w:eastAsia="es-CR"/>
        </w:rPr>
        <w:t xml:space="preserve"> estudio</w:t>
      </w:r>
      <w:r w:rsidR="00B50E1A">
        <w:rPr>
          <w:rFonts w:ascii="Arial" w:hAnsi="Arial" w:cs="Arial"/>
          <w:lang w:eastAsia="es-CR"/>
        </w:rPr>
        <w:t>,</w:t>
      </w:r>
      <w:r>
        <w:rPr>
          <w:rFonts w:ascii="Arial" w:hAnsi="Arial" w:cs="Arial"/>
          <w:lang w:eastAsia="es-CR"/>
        </w:rPr>
        <w:t xml:space="preserve"> no se evidenció que se hayan subsanado las situaciones presentadas </w:t>
      </w:r>
      <w:r w:rsidR="00EE4A47">
        <w:rPr>
          <w:rFonts w:ascii="Arial" w:hAnsi="Arial" w:cs="Arial"/>
          <w:lang w:eastAsia="es-CR"/>
        </w:rPr>
        <w:t xml:space="preserve">en el informe </w:t>
      </w:r>
      <w:r w:rsidR="00E63F35">
        <w:rPr>
          <w:rFonts w:ascii="Arial" w:hAnsi="Arial" w:cs="Arial"/>
          <w:lang w:eastAsia="es-CR"/>
        </w:rPr>
        <w:t>AI-INF-</w:t>
      </w:r>
      <w:r w:rsidR="00EE4A47">
        <w:rPr>
          <w:rFonts w:ascii="Arial" w:hAnsi="Arial" w:cs="Arial"/>
          <w:lang w:eastAsia="es-CR"/>
        </w:rPr>
        <w:t>025-2017</w:t>
      </w:r>
      <w:r w:rsidR="00E63F35">
        <w:rPr>
          <w:rFonts w:ascii="Arial" w:hAnsi="Arial" w:cs="Arial"/>
          <w:lang w:eastAsia="es-CR"/>
        </w:rPr>
        <w:t xml:space="preserve"> e incluidas</w:t>
      </w:r>
      <w:r w:rsidR="00EE4A47">
        <w:rPr>
          <w:rFonts w:ascii="Arial" w:hAnsi="Arial" w:cs="Arial"/>
          <w:lang w:eastAsia="es-CR"/>
        </w:rPr>
        <w:t xml:space="preserve"> </w:t>
      </w:r>
      <w:r w:rsidR="00E63F35">
        <w:rPr>
          <w:rFonts w:ascii="Arial" w:hAnsi="Arial" w:cs="Arial"/>
          <w:lang w:eastAsia="es-CR"/>
        </w:rPr>
        <w:t xml:space="preserve">en las </w:t>
      </w:r>
      <w:r w:rsidR="00EE4A47">
        <w:rPr>
          <w:rFonts w:ascii="Arial" w:hAnsi="Arial" w:cs="Arial"/>
          <w:lang w:eastAsia="es-CR"/>
        </w:rPr>
        <w:t xml:space="preserve">recomendaciones 4.10 y 4.11, en relación </w:t>
      </w:r>
      <w:r>
        <w:rPr>
          <w:rFonts w:ascii="Arial" w:hAnsi="Arial" w:cs="Arial"/>
          <w:lang w:eastAsia="es-CR"/>
        </w:rPr>
        <w:t xml:space="preserve">con </w:t>
      </w:r>
      <w:r w:rsidR="00676EEE" w:rsidRPr="00201762">
        <w:rPr>
          <w:rFonts w:ascii="Arial" w:hAnsi="Arial" w:cs="Arial"/>
        </w:rPr>
        <w:t>1468</w:t>
      </w:r>
      <w:r w:rsidR="00676EEE">
        <w:rPr>
          <w:rFonts w:ascii="Arial" w:hAnsi="Arial" w:cs="Arial"/>
        </w:rPr>
        <w:t xml:space="preserve"> </w:t>
      </w:r>
      <w:r w:rsidRPr="00676EEE">
        <w:rPr>
          <w:rFonts w:ascii="Arial" w:hAnsi="Arial" w:cs="Arial"/>
          <w:lang w:eastAsia="es-CR"/>
        </w:rPr>
        <w:t xml:space="preserve">expedientes que no fueron localizados y </w:t>
      </w:r>
      <w:r w:rsidR="00B50E1A" w:rsidRPr="00676EEE">
        <w:rPr>
          <w:rFonts w:ascii="Arial" w:hAnsi="Arial" w:cs="Arial"/>
          <w:lang w:eastAsia="es-CR"/>
        </w:rPr>
        <w:t>que se consignaron</w:t>
      </w:r>
      <w:r w:rsidRPr="00676EEE">
        <w:rPr>
          <w:rFonts w:ascii="Arial" w:hAnsi="Arial" w:cs="Arial"/>
          <w:lang w:eastAsia="es-CR"/>
        </w:rPr>
        <w:t xml:space="preserve"> como improcedentes y 1282 expedientes</w:t>
      </w:r>
      <w:r>
        <w:rPr>
          <w:rFonts w:ascii="Arial" w:hAnsi="Arial" w:cs="Arial"/>
          <w:lang w:eastAsia="es-CR"/>
        </w:rPr>
        <w:t xml:space="preserve"> que no fueron localizados</w:t>
      </w:r>
      <w:r w:rsidR="00EE4A47">
        <w:rPr>
          <w:rFonts w:ascii="Arial" w:hAnsi="Arial" w:cs="Arial"/>
          <w:lang w:eastAsia="es-CR"/>
        </w:rPr>
        <w:t>.</w:t>
      </w:r>
      <w:r w:rsidR="004E0BF9">
        <w:rPr>
          <w:rFonts w:ascii="Arial" w:hAnsi="Arial" w:cs="Arial"/>
          <w:lang w:eastAsia="es-CR"/>
        </w:rPr>
        <w:t xml:space="preserve">  El detalle d</w:t>
      </w:r>
      <w:r w:rsidR="00AE6EB5">
        <w:rPr>
          <w:rFonts w:ascii="Arial" w:hAnsi="Arial" w:cs="Arial"/>
          <w:lang w:eastAsia="es-CR"/>
        </w:rPr>
        <w:t>e</w:t>
      </w:r>
      <w:r w:rsidR="004E0BF9">
        <w:rPr>
          <w:rFonts w:ascii="Arial" w:hAnsi="Arial" w:cs="Arial"/>
          <w:lang w:eastAsia="es-CR"/>
        </w:rPr>
        <w:t xml:space="preserve"> estos expedientes se presenta en el Anexo N°</w:t>
      </w:r>
      <w:r w:rsidR="006A5CA9">
        <w:rPr>
          <w:rFonts w:ascii="Arial" w:hAnsi="Arial" w:cs="Arial"/>
          <w:lang w:eastAsia="es-CR"/>
        </w:rPr>
        <w:t>4</w:t>
      </w:r>
      <w:r w:rsidR="004E0BF9">
        <w:rPr>
          <w:rFonts w:ascii="Arial" w:hAnsi="Arial" w:cs="Arial"/>
          <w:lang w:eastAsia="es-CR"/>
        </w:rPr>
        <w:t xml:space="preserve"> de este informe.</w:t>
      </w:r>
    </w:p>
    <w:p w14:paraId="69EA5745" w14:textId="77777777" w:rsidR="006A5CA9" w:rsidRDefault="006A5CA9" w:rsidP="00387D65">
      <w:pPr>
        <w:autoSpaceDE w:val="0"/>
        <w:autoSpaceDN w:val="0"/>
        <w:adjustRightInd w:val="0"/>
        <w:spacing w:after="0" w:line="240" w:lineRule="auto"/>
        <w:contextualSpacing/>
        <w:jc w:val="both"/>
        <w:rPr>
          <w:rFonts w:ascii="Arial" w:hAnsi="Arial" w:cs="Arial"/>
          <w:lang w:eastAsia="es-CR"/>
        </w:rPr>
      </w:pPr>
    </w:p>
    <w:p w14:paraId="5E22DD5D" w14:textId="77777777" w:rsidR="006A5CA9" w:rsidRDefault="006A5CA9"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La causa de lo anterior radica en que se han realizado esfuerzos fragmentados para la ubicación de los expedientes mencionados, sin embargo</w:t>
      </w:r>
      <w:r w:rsidR="00713E96">
        <w:rPr>
          <w:rFonts w:ascii="Arial" w:hAnsi="Arial" w:cs="Arial"/>
          <w:lang w:eastAsia="es-CR"/>
        </w:rPr>
        <w:t>,</w:t>
      </w:r>
      <w:r>
        <w:rPr>
          <w:rFonts w:ascii="Arial" w:hAnsi="Arial" w:cs="Arial"/>
          <w:lang w:eastAsia="es-CR"/>
        </w:rPr>
        <w:t xml:space="preserve"> no se han documentado y no se ha materializado un informe que evidencie que efectivamente se conoce el estado de estos.</w:t>
      </w:r>
    </w:p>
    <w:p w14:paraId="7A9316D1"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p>
    <w:p w14:paraId="77DF4E8D"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Con lo antes expresado se genera el riesgo de desconocer si se presentó un daño a la Hacienda Pública, por cuanto se trata de montos efectivamente adeudados</w:t>
      </w:r>
      <w:r w:rsidR="007B224F">
        <w:rPr>
          <w:rFonts w:ascii="Arial" w:hAnsi="Arial" w:cs="Arial"/>
          <w:lang w:eastAsia="es-CR"/>
        </w:rPr>
        <w:t>.</w:t>
      </w:r>
    </w:p>
    <w:p w14:paraId="4CD57686" w14:textId="77777777" w:rsidR="00713E96" w:rsidRDefault="00713E96" w:rsidP="00387D65">
      <w:pPr>
        <w:autoSpaceDE w:val="0"/>
        <w:autoSpaceDN w:val="0"/>
        <w:adjustRightInd w:val="0"/>
        <w:spacing w:after="0" w:line="240" w:lineRule="auto"/>
        <w:contextualSpacing/>
        <w:jc w:val="both"/>
        <w:rPr>
          <w:rFonts w:ascii="Arial" w:hAnsi="Arial" w:cs="Arial"/>
          <w:lang w:eastAsia="es-CR"/>
        </w:rPr>
      </w:pPr>
    </w:p>
    <w:p w14:paraId="3430E3E6" w14:textId="77777777" w:rsidR="003E439A" w:rsidRDefault="003E439A" w:rsidP="00387D65">
      <w:pPr>
        <w:autoSpaceDE w:val="0"/>
        <w:autoSpaceDN w:val="0"/>
        <w:adjustRightInd w:val="0"/>
        <w:spacing w:after="0" w:line="240" w:lineRule="auto"/>
        <w:jc w:val="both"/>
        <w:rPr>
          <w:rFonts w:ascii="Arial" w:hAnsi="Arial" w:cs="Arial"/>
          <w:lang w:eastAsia="es-CR"/>
        </w:rPr>
      </w:pPr>
    </w:p>
    <w:p w14:paraId="52A3B3A3" w14:textId="77777777" w:rsidR="003E439A" w:rsidRPr="00713E96" w:rsidRDefault="00767759" w:rsidP="00713E96">
      <w:pPr>
        <w:pStyle w:val="Ttulo1"/>
        <w:keepNext w:val="0"/>
        <w:keepLines w:val="0"/>
        <w:spacing w:before="0" w:after="0"/>
        <w:ind w:left="141"/>
        <w:contextualSpacing/>
        <w:jc w:val="both"/>
        <w:rPr>
          <w:rFonts w:ascii="Arial" w:hAnsi="Arial" w:cs="Arial"/>
          <w:b/>
          <w:bCs/>
          <w:color w:val="44546A" w:themeColor="text2"/>
          <w:kern w:val="28"/>
          <w:sz w:val="24"/>
          <w:szCs w:val="24"/>
          <w:lang w:eastAsia="es-ES"/>
        </w:rPr>
      </w:pPr>
      <w:bookmarkStart w:id="51" w:name="_Toc119920108"/>
      <w:r w:rsidRPr="00713E96">
        <w:rPr>
          <w:rFonts w:ascii="Arial" w:hAnsi="Arial" w:cs="Arial"/>
          <w:b/>
          <w:bCs/>
          <w:color w:val="44546A" w:themeColor="text2"/>
          <w:kern w:val="28"/>
          <w:sz w:val="24"/>
          <w:szCs w:val="24"/>
          <w:lang w:eastAsia="es-ES"/>
        </w:rPr>
        <w:t xml:space="preserve">2.2.5 </w:t>
      </w:r>
      <w:r w:rsidR="003E439A" w:rsidRPr="00713E96">
        <w:rPr>
          <w:rFonts w:ascii="Arial" w:hAnsi="Arial" w:cs="Arial"/>
          <w:b/>
          <w:bCs/>
          <w:color w:val="44546A" w:themeColor="text2"/>
          <w:kern w:val="28"/>
          <w:sz w:val="24"/>
          <w:szCs w:val="24"/>
          <w:lang w:eastAsia="es-ES"/>
        </w:rPr>
        <w:t xml:space="preserve">Sobre debilidades </w:t>
      </w:r>
      <w:r w:rsidR="002447EB" w:rsidRPr="00713E96">
        <w:rPr>
          <w:rFonts w:ascii="Arial" w:hAnsi="Arial" w:cs="Arial"/>
          <w:b/>
          <w:bCs/>
          <w:color w:val="44546A" w:themeColor="text2"/>
          <w:kern w:val="28"/>
          <w:sz w:val="24"/>
          <w:szCs w:val="24"/>
          <w:lang w:eastAsia="es-ES"/>
        </w:rPr>
        <w:t>en la administración de la información</w:t>
      </w:r>
      <w:r w:rsidR="003E439A" w:rsidRPr="00713E96">
        <w:rPr>
          <w:rFonts w:ascii="Arial" w:hAnsi="Arial" w:cs="Arial"/>
          <w:b/>
          <w:bCs/>
          <w:color w:val="44546A" w:themeColor="text2"/>
          <w:kern w:val="28"/>
          <w:sz w:val="24"/>
          <w:szCs w:val="24"/>
          <w:lang w:eastAsia="es-ES"/>
        </w:rPr>
        <w:t>.</w:t>
      </w:r>
      <w:bookmarkEnd w:id="51"/>
    </w:p>
    <w:p w14:paraId="6D2F602F" w14:textId="77777777" w:rsidR="003C116B" w:rsidRDefault="003C116B" w:rsidP="00387D65">
      <w:pPr>
        <w:autoSpaceDE w:val="0"/>
        <w:autoSpaceDN w:val="0"/>
        <w:adjustRightInd w:val="0"/>
        <w:spacing w:after="0" w:line="240" w:lineRule="auto"/>
        <w:contextualSpacing/>
        <w:jc w:val="both"/>
        <w:rPr>
          <w:rFonts w:ascii="Arial" w:hAnsi="Arial" w:cs="Arial"/>
          <w:lang w:eastAsia="es-CR"/>
        </w:rPr>
      </w:pPr>
    </w:p>
    <w:p w14:paraId="4D89E176" w14:textId="77777777" w:rsidR="00C62C06" w:rsidRDefault="00C62C06"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 xml:space="preserve">La norma 4.5 de las Normas </w:t>
      </w:r>
      <w:r w:rsidR="00B50E1A">
        <w:rPr>
          <w:rFonts w:ascii="Arial" w:hAnsi="Arial" w:cs="Arial"/>
          <w:lang w:eastAsia="es-CR"/>
        </w:rPr>
        <w:t>g</w:t>
      </w:r>
      <w:r>
        <w:rPr>
          <w:rFonts w:ascii="Arial" w:hAnsi="Arial" w:cs="Arial"/>
          <w:lang w:eastAsia="es-CR"/>
        </w:rPr>
        <w:t>enerales de control interno para el Sector Público refiere a la garantía de eficiencia y eficacia de las operaciones, asimismo, la norma 4.5.1 menciona la supervisión constante que el jerarca y los titulares subordinados, según sus competencias, deber ejercer sobre el desarrollo de la gestión institucional y la observancia de las regulaciones atinentes al sistema de control interno, así como emprender las acciones necesarias para la consecución de los objetivos.</w:t>
      </w:r>
    </w:p>
    <w:p w14:paraId="3D9B4568" w14:textId="77777777" w:rsidR="00867296" w:rsidRDefault="00867296" w:rsidP="00387D65">
      <w:pPr>
        <w:autoSpaceDE w:val="0"/>
        <w:autoSpaceDN w:val="0"/>
        <w:adjustRightInd w:val="0"/>
        <w:spacing w:after="0" w:line="240" w:lineRule="auto"/>
        <w:contextualSpacing/>
        <w:jc w:val="both"/>
        <w:rPr>
          <w:rFonts w:ascii="Arial" w:hAnsi="Arial" w:cs="Arial"/>
          <w:lang w:eastAsia="es-CR"/>
        </w:rPr>
      </w:pPr>
    </w:p>
    <w:p w14:paraId="08C282F2" w14:textId="77777777" w:rsidR="00C62C06" w:rsidRDefault="0090074B"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En relación con lo anterior, a</w:t>
      </w:r>
      <w:r w:rsidR="00C62C06">
        <w:rPr>
          <w:rFonts w:ascii="Arial" w:hAnsi="Arial" w:cs="Arial"/>
          <w:lang w:eastAsia="es-CR"/>
        </w:rPr>
        <w:t>un</w:t>
      </w:r>
      <w:r>
        <w:rPr>
          <w:rFonts w:ascii="Arial" w:hAnsi="Arial" w:cs="Arial"/>
          <w:lang w:eastAsia="es-CR"/>
        </w:rPr>
        <w:t>que</w:t>
      </w:r>
      <w:r w:rsidR="00C62C06">
        <w:rPr>
          <w:rFonts w:ascii="Arial" w:hAnsi="Arial" w:cs="Arial"/>
          <w:lang w:eastAsia="es-CR"/>
        </w:rPr>
        <w:t xml:space="preserve"> la gestión en la División de Adeudos Estatales ha mostrado un avance </w:t>
      </w:r>
      <w:r>
        <w:rPr>
          <w:rFonts w:ascii="Arial" w:hAnsi="Arial" w:cs="Arial"/>
          <w:lang w:eastAsia="es-CR"/>
        </w:rPr>
        <w:t>en</w:t>
      </w:r>
      <w:r w:rsidR="00B50E1A">
        <w:rPr>
          <w:rFonts w:ascii="Arial" w:hAnsi="Arial" w:cs="Arial"/>
          <w:lang w:eastAsia="es-CR"/>
        </w:rPr>
        <w:t xml:space="preserve"> la asignación de</w:t>
      </w:r>
      <w:r w:rsidR="00C62C06">
        <w:rPr>
          <w:rFonts w:ascii="Arial" w:hAnsi="Arial" w:cs="Arial"/>
          <w:lang w:eastAsia="es-CR"/>
        </w:rPr>
        <w:t xml:space="preserve"> espacio físico </w:t>
      </w:r>
      <w:r>
        <w:rPr>
          <w:rFonts w:ascii="Arial" w:hAnsi="Arial" w:cs="Arial"/>
          <w:lang w:eastAsia="es-CR"/>
        </w:rPr>
        <w:t xml:space="preserve">para el archivo </w:t>
      </w:r>
      <w:r w:rsidR="00C62C06">
        <w:rPr>
          <w:rFonts w:ascii="Arial" w:hAnsi="Arial" w:cs="Arial"/>
          <w:lang w:eastAsia="es-CR"/>
        </w:rPr>
        <w:t xml:space="preserve">y </w:t>
      </w:r>
      <w:r>
        <w:rPr>
          <w:rFonts w:ascii="Arial" w:hAnsi="Arial" w:cs="Arial"/>
          <w:lang w:eastAsia="es-CR"/>
        </w:rPr>
        <w:t>e</w:t>
      </w:r>
      <w:r w:rsidR="00C62C06">
        <w:rPr>
          <w:rFonts w:ascii="Arial" w:hAnsi="Arial" w:cs="Arial"/>
          <w:lang w:eastAsia="es-CR"/>
        </w:rPr>
        <w:t>l control de ingreso de los expedientes físicos,</w:t>
      </w:r>
      <w:r w:rsidR="00D02BBF">
        <w:rPr>
          <w:rFonts w:ascii="Arial" w:hAnsi="Arial" w:cs="Arial"/>
          <w:lang w:eastAsia="es-CR"/>
        </w:rPr>
        <w:t xml:space="preserve"> aún no se cuenta </w:t>
      </w:r>
      <w:r w:rsidR="00C62C06">
        <w:rPr>
          <w:rFonts w:ascii="Arial" w:hAnsi="Arial" w:cs="Arial"/>
          <w:lang w:eastAsia="es-CR"/>
        </w:rPr>
        <w:t xml:space="preserve">con un diseño del proceso de Cobro Judicial que garantice el control de toda la información, </w:t>
      </w:r>
      <w:r w:rsidR="009F2C11">
        <w:rPr>
          <w:rFonts w:ascii="Arial" w:hAnsi="Arial" w:cs="Arial"/>
          <w:lang w:eastAsia="es-CR"/>
        </w:rPr>
        <w:t xml:space="preserve">lo cual se había comentado en el punto 2.2.2 del informe AI-INF-025-2017 y </w:t>
      </w:r>
      <w:r>
        <w:rPr>
          <w:rFonts w:ascii="Arial" w:hAnsi="Arial" w:cs="Arial"/>
          <w:lang w:eastAsia="es-CR"/>
        </w:rPr>
        <w:t>en su</w:t>
      </w:r>
      <w:r w:rsidR="009F2C11">
        <w:rPr>
          <w:rFonts w:ascii="Arial" w:hAnsi="Arial" w:cs="Arial"/>
          <w:lang w:eastAsia="es-CR"/>
        </w:rPr>
        <w:t xml:space="preserve"> recomendación </w:t>
      </w:r>
      <w:r w:rsidR="005D4DAD">
        <w:rPr>
          <w:rFonts w:ascii="Arial" w:hAnsi="Arial" w:cs="Arial"/>
          <w:lang w:eastAsia="es-CR"/>
        </w:rPr>
        <w:t>4.8</w:t>
      </w:r>
      <w:r w:rsidR="009F2C11">
        <w:rPr>
          <w:rFonts w:ascii="Arial" w:hAnsi="Arial" w:cs="Arial"/>
          <w:lang w:eastAsia="es-CR"/>
        </w:rPr>
        <w:t>.  Específicamente se refirieron debilidades relacionadas con:</w:t>
      </w:r>
    </w:p>
    <w:p w14:paraId="2926416D" w14:textId="77777777" w:rsidR="00B50E1A" w:rsidRDefault="00B50E1A" w:rsidP="00387D65">
      <w:pPr>
        <w:autoSpaceDE w:val="0"/>
        <w:autoSpaceDN w:val="0"/>
        <w:adjustRightInd w:val="0"/>
        <w:spacing w:after="0" w:line="240" w:lineRule="auto"/>
        <w:contextualSpacing/>
        <w:jc w:val="both"/>
        <w:rPr>
          <w:rFonts w:ascii="Arial" w:hAnsi="Arial" w:cs="Arial"/>
          <w:lang w:eastAsia="es-CR"/>
        </w:rPr>
      </w:pPr>
    </w:p>
    <w:p w14:paraId="3BA8BF53" w14:textId="77777777" w:rsidR="00C62C06" w:rsidRPr="007B6979" w:rsidRDefault="0090074B" w:rsidP="00387D65">
      <w:pPr>
        <w:pStyle w:val="Prrafodelista"/>
        <w:numPr>
          <w:ilvl w:val="0"/>
          <w:numId w:val="35"/>
        </w:numPr>
        <w:spacing w:after="0" w:line="240" w:lineRule="auto"/>
        <w:jc w:val="both"/>
        <w:rPr>
          <w:rFonts w:ascii="Arial" w:hAnsi="Arial" w:cs="Arial"/>
          <w:color w:val="000000"/>
        </w:rPr>
      </w:pPr>
      <w:r>
        <w:rPr>
          <w:rFonts w:ascii="Arial" w:hAnsi="Arial" w:cs="Arial"/>
          <w:color w:val="000000"/>
        </w:rPr>
        <w:t>El c</w:t>
      </w:r>
      <w:r w:rsidR="00C62C06" w:rsidRPr="007B6979">
        <w:rPr>
          <w:rFonts w:ascii="Arial" w:hAnsi="Arial" w:cs="Arial"/>
          <w:color w:val="000000"/>
        </w:rPr>
        <w:t xml:space="preserve">ontrol </w:t>
      </w:r>
      <w:r w:rsidR="009F2C11">
        <w:rPr>
          <w:rFonts w:ascii="Arial" w:hAnsi="Arial" w:cs="Arial"/>
          <w:color w:val="000000"/>
        </w:rPr>
        <w:t>de entrada y salida de expedientes físicos.</w:t>
      </w:r>
    </w:p>
    <w:p w14:paraId="53C0ACFE" w14:textId="77777777" w:rsidR="00C62C06" w:rsidRPr="007B6979" w:rsidRDefault="005D4DAD" w:rsidP="00387D65">
      <w:pPr>
        <w:pStyle w:val="Prrafodelista"/>
        <w:numPr>
          <w:ilvl w:val="0"/>
          <w:numId w:val="35"/>
        </w:numPr>
        <w:spacing w:after="0" w:line="240" w:lineRule="auto"/>
        <w:jc w:val="both"/>
        <w:rPr>
          <w:rFonts w:ascii="Arial" w:hAnsi="Arial" w:cs="Arial"/>
          <w:color w:val="000000"/>
        </w:rPr>
      </w:pPr>
      <w:r>
        <w:rPr>
          <w:rFonts w:ascii="Arial" w:hAnsi="Arial" w:cs="Arial"/>
          <w:color w:val="000000"/>
        </w:rPr>
        <w:t>Registro en el sistema de deudas que deben considerarse como “deuda pasiva”</w:t>
      </w:r>
      <w:r w:rsidR="00C62C06" w:rsidRPr="007B6979">
        <w:rPr>
          <w:rFonts w:ascii="Arial" w:hAnsi="Arial" w:cs="Arial"/>
          <w:color w:val="000000"/>
        </w:rPr>
        <w:t>.</w:t>
      </w:r>
    </w:p>
    <w:p w14:paraId="21B95DF3" w14:textId="77777777" w:rsidR="00C62C06"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lastRenderedPageBreak/>
        <w:t xml:space="preserve">Expedientes </w:t>
      </w:r>
      <w:r w:rsidR="009F2C11">
        <w:rPr>
          <w:rFonts w:ascii="Arial" w:hAnsi="Arial" w:cs="Arial"/>
          <w:color w:val="000000"/>
        </w:rPr>
        <w:t xml:space="preserve">en los que </w:t>
      </w:r>
      <w:r w:rsidRPr="007B6979">
        <w:rPr>
          <w:rFonts w:ascii="Arial" w:hAnsi="Arial" w:cs="Arial"/>
          <w:color w:val="000000"/>
        </w:rPr>
        <w:t>no se cobraron honorarios.</w:t>
      </w:r>
    </w:p>
    <w:p w14:paraId="5F55E64D" w14:textId="77777777" w:rsidR="00397C5A" w:rsidRDefault="005D4DAD" w:rsidP="0085163D">
      <w:pPr>
        <w:pStyle w:val="Prrafodelista"/>
        <w:numPr>
          <w:ilvl w:val="0"/>
          <w:numId w:val="35"/>
        </w:numPr>
        <w:spacing w:after="0" w:line="240" w:lineRule="auto"/>
        <w:jc w:val="both"/>
        <w:rPr>
          <w:rFonts w:ascii="Arial" w:hAnsi="Arial" w:cs="Arial"/>
          <w:color w:val="000000"/>
        </w:rPr>
      </w:pPr>
      <w:r w:rsidRPr="00397C5A">
        <w:rPr>
          <w:rFonts w:ascii="Arial" w:hAnsi="Arial" w:cs="Arial"/>
          <w:color w:val="000000"/>
        </w:rPr>
        <w:t>Expedientes terminados como cancelados sin estarlo en el sistema SIIAT, o no se adjuntan los recibos correspondientes</w:t>
      </w:r>
      <w:r w:rsidR="0090074B" w:rsidRPr="00397C5A">
        <w:rPr>
          <w:rFonts w:ascii="Arial" w:hAnsi="Arial" w:cs="Arial"/>
          <w:color w:val="000000"/>
        </w:rPr>
        <w:t>, así como evidencia de la verificación del ingreso de los montos cancelados</w:t>
      </w:r>
      <w:r w:rsidRPr="00397C5A">
        <w:rPr>
          <w:rFonts w:ascii="Arial" w:hAnsi="Arial" w:cs="Arial"/>
          <w:color w:val="000000"/>
        </w:rPr>
        <w:t>.</w:t>
      </w:r>
      <w:r w:rsidR="00145D6B" w:rsidRPr="00397C5A">
        <w:rPr>
          <w:rFonts w:ascii="Arial" w:hAnsi="Arial" w:cs="Arial"/>
          <w:color w:val="000000"/>
        </w:rPr>
        <w:t xml:space="preserve">  </w:t>
      </w:r>
    </w:p>
    <w:p w14:paraId="7D710C8F" w14:textId="77777777" w:rsidR="00C62C06" w:rsidRPr="00397C5A" w:rsidRDefault="00C62C06" w:rsidP="0085163D">
      <w:pPr>
        <w:pStyle w:val="Prrafodelista"/>
        <w:numPr>
          <w:ilvl w:val="0"/>
          <w:numId w:val="35"/>
        </w:numPr>
        <w:spacing w:after="0" w:line="240" w:lineRule="auto"/>
        <w:jc w:val="both"/>
        <w:rPr>
          <w:rFonts w:ascii="Arial" w:hAnsi="Arial" w:cs="Arial"/>
          <w:color w:val="000000"/>
        </w:rPr>
      </w:pPr>
      <w:r w:rsidRPr="00397C5A">
        <w:rPr>
          <w:rFonts w:ascii="Arial" w:hAnsi="Arial" w:cs="Arial"/>
          <w:color w:val="000000"/>
        </w:rPr>
        <w:t>Expedientes terminados por prescripción sin haberse realizado ninguna gestión de cobro al expediente</w:t>
      </w:r>
      <w:r w:rsidR="008973BD" w:rsidRPr="00397C5A">
        <w:rPr>
          <w:rFonts w:ascii="Arial" w:hAnsi="Arial" w:cs="Arial"/>
          <w:color w:val="000000"/>
        </w:rPr>
        <w:t>, según se indicó las razones que propician esta debilidad son, entre otras, que el sistema SIED no emitía alertas sobre expedientes que no cuentan con ningún trámite de cobro y están cerca de prescribir, no había</w:t>
      </w:r>
      <w:r w:rsidR="008973BD" w:rsidRPr="008973BD">
        <w:t xml:space="preserve"> </w:t>
      </w:r>
      <w:r w:rsidR="008973BD" w:rsidRPr="00397C5A">
        <w:rPr>
          <w:rFonts w:ascii="Arial" w:hAnsi="Arial" w:cs="Arial"/>
          <w:color w:val="000000"/>
        </w:rPr>
        <w:t>un seguimiento oportuno sobre los expedientes por parte de la Jefatura del Departamento de Cobro Judicial, y se desconocía la ubicación de los expedientes en el archivo y por lo tanto podían quedar rezagados.</w:t>
      </w:r>
    </w:p>
    <w:p w14:paraId="74FBBC10" w14:textId="77777777" w:rsidR="00C62C06"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t xml:space="preserve">Expedientes prescritos por falta de seguimiento por parte del Departamento Legal de la Dirección de Cobros. </w:t>
      </w:r>
    </w:p>
    <w:p w14:paraId="786AA43A" w14:textId="77777777" w:rsidR="00C62C06"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t xml:space="preserve">Expedientes sin embargo administrativo o que no cuentan con información sobre las gestiones realizadas. </w:t>
      </w:r>
    </w:p>
    <w:p w14:paraId="2E2B2CFF" w14:textId="77777777" w:rsidR="00C62C06"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t xml:space="preserve">Expedientes con </w:t>
      </w:r>
      <w:r w:rsidR="00B50E1A">
        <w:rPr>
          <w:rFonts w:ascii="Arial" w:hAnsi="Arial" w:cs="Arial"/>
          <w:color w:val="000000"/>
        </w:rPr>
        <w:t>a</w:t>
      </w:r>
      <w:r w:rsidRPr="007B6979">
        <w:rPr>
          <w:rFonts w:ascii="Arial" w:hAnsi="Arial" w:cs="Arial"/>
          <w:color w:val="000000"/>
        </w:rPr>
        <w:t xml:space="preserve">viso de cobro sin notificar o sin otro trámite. </w:t>
      </w:r>
    </w:p>
    <w:p w14:paraId="496A0A14" w14:textId="77777777" w:rsidR="00C62C06"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t xml:space="preserve">Expedientes que no cumplen con los plazos establecidos para su atención por parte del abogado. </w:t>
      </w:r>
    </w:p>
    <w:p w14:paraId="04117A22" w14:textId="77777777" w:rsidR="00C62C06" w:rsidRPr="007B6979" w:rsidRDefault="00C62C06" w:rsidP="00387D65">
      <w:pPr>
        <w:pStyle w:val="Prrafodelista"/>
        <w:numPr>
          <w:ilvl w:val="0"/>
          <w:numId w:val="35"/>
        </w:numPr>
        <w:spacing w:after="0" w:line="240" w:lineRule="auto"/>
        <w:jc w:val="both"/>
        <w:rPr>
          <w:rFonts w:ascii="Arial" w:hAnsi="Arial" w:cs="Arial"/>
          <w:color w:val="000000"/>
        </w:rPr>
      </w:pPr>
      <w:r w:rsidRPr="007B6979">
        <w:rPr>
          <w:rFonts w:ascii="Arial" w:hAnsi="Arial" w:cs="Arial"/>
          <w:color w:val="000000"/>
        </w:rPr>
        <w:t>Expedientes que se realiz</w:t>
      </w:r>
      <w:r w:rsidR="00D02BBF">
        <w:rPr>
          <w:rFonts w:ascii="Arial" w:hAnsi="Arial" w:cs="Arial"/>
          <w:color w:val="000000"/>
        </w:rPr>
        <w:t>ó</w:t>
      </w:r>
      <w:r w:rsidRPr="007B6979">
        <w:rPr>
          <w:rFonts w:ascii="Arial" w:hAnsi="Arial" w:cs="Arial"/>
          <w:color w:val="000000"/>
        </w:rPr>
        <w:t xml:space="preserve"> el aviso de cobro, y la demanda, pero no se d</w:t>
      </w:r>
      <w:r w:rsidR="00D02BBF">
        <w:rPr>
          <w:rFonts w:ascii="Arial" w:hAnsi="Arial" w:cs="Arial"/>
          <w:color w:val="000000"/>
        </w:rPr>
        <w:t>io</w:t>
      </w:r>
      <w:r w:rsidRPr="007B6979">
        <w:rPr>
          <w:rFonts w:ascii="Arial" w:hAnsi="Arial" w:cs="Arial"/>
          <w:color w:val="000000"/>
        </w:rPr>
        <w:t xml:space="preserve"> seguimiento, n</w:t>
      </w:r>
      <w:r w:rsidR="00D02BBF">
        <w:rPr>
          <w:rFonts w:ascii="Arial" w:hAnsi="Arial" w:cs="Arial"/>
          <w:color w:val="000000"/>
        </w:rPr>
        <w:t>i</w:t>
      </w:r>
      <w:r w:rsidRPr="007B6979">
        <w:rPr>
          <w:rFonts w:ascii="Arial" w:hAnsi="Arial" w:cs="Arial"/>
          <w:color w:val="000000"/>
        </w:rPr>
        <w:t xml:space="preserve"> se realiz</w:t>
      </w:r>
      <w:r w:rsidR="006B551B">
        <w:rPr>
          <w:rFonts w:ascii="Arial" w:hAnsi="Arial" w:cs="Arial"/>
          <w:color w:val="000000"/>
        </w:rPr>
        <w:t>ó</w:t>
      </w:r>
      <w:r w:rsidRPr="007B6979">
        <w:rPr>
          <w:rFonts w:ascii="Arial" w:hAnsi="Arial" w:cs="Arial"/>
          <w:color w:val="000000"/>
        </w:rPr>
        <w:t xml:space="preserve"> intimatoria. </w:t>
      </w:r>
    </w:p>
    <w:p w14:paraId="2D872E2A" w14:textId="77777777" w:rsidR="00B50E1A" w:rsidRDefault="00B50E1A" w:rsidP="00387D65">
      <w:pPr>
        <w:autoSpaceDE w:val="0"/>
        <w:autoSpaceDN w:val="0"/>
        <w:adjustRightInd w:val="0"/>
        <w:spacing w:after="0" w:line="240" w:lineRule="auto"/>
        <w:contextualSpacing/>
        <w:jc w:val="both"/>
        <w:rPr>
          <w:rFonts w:ascii="Arial" w:hAnsi="Arial" w:cs="Arial"/>
          <w:lang w:eastAsia="es-CR"/>
        </w:rPr>
      </w:pPr>
    </w:p>
    <w:p w14:paraId="3602C37F" w14:textId="77777777" w:rsidR="00FA6E29" w:rsidRDefault="00FA6E29"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 xml:space="preserve">Al igual que en el resultado anterior, esta situación se ha presentado por la ejecución de esfuerzos aislados en la definición del proceso, que no han llegado a su término, así como la rotación de funcionarios que se ha dado en esa dependencia. </w:t>
      </w:r>
    </w:p>
    <w:p w14:paraId="2312A87E" w14:textId="77777777" w:rsidR="00FA6E29" w:rsidRDefault="00FA6E29" w:rsidP="00387D65">
      <w:pPr>
        <w:autoSpaceDE w:val="0"/>
        <w:autoSpaceDN w:val="0"/>
        <w:adjustRightInd w:val="0"/>
        <w:spacing w:after="0" w:line="240" w:lineRule="auto"/>
        <w:contextualSpacing/>
        <w:jc w:val="both"/>
        <w:rPr>
          <w:rFonts w:ascii="Arial" w:hAnsi="Arial" w:cs="Arial"/>
          <w:lang w:eastAsia="es-CR"/>
        </w:rPr>
      </w:pPr>
    </w:p>
    <w:p w14:paraId="1DD6BCF2" w14:textId="77777777" w:rsidR="00C62C06" w:rsidRDefault="00867296" w:rsidP="00387D65">
      <w:pPr>
        <w:autoSpaceDE w:val="0"/>
        <w:autoSpaceDN w:val="0"/>
        <w:adjustRightInd w:val="0"/>
        <w:spacing w:after="0" w:line="240" w:lineRule="auto"/>
        <w:contextualSpacing/>
        <w:jc w:val="both"/>
        <w:rPr>
          <w:rFonts w:ascii="Arial" w:hAnsi="Arial" w:cs="Arial"/>
          <w:lang w:eastAsia="es-CR"/>
        </w:rPr>
      </w:pPr>
      <w:r>
        <w:rPr>
          <w:rFonts w:ascii="Arial" w:hAnsi="Arial" w:cs="Arial"/>
          <w:lang w:eastAsia="es-CR"/>
        </w:rPr>
        <w:t xml:space="preserve">Lo antes descrito imposibilita la obtención de información sobre si se ha provocado un daño a la Hacienda Pública. </w:t>
      </w:r>
    </w:p>
    <w:p w14:paraId="521B5B37" w14:textId="77777777" w:rsidR="00867296" w:rsidRDefault="00867296" w:rsidP="00387D65">
      <w:pPr>
        <w:autoSpaceDE w:val="0"/>
        <w:autoSpaceDN w:val="0"/>
        <w:adjustRightInd w:val="0"/>
        <w:spacing w:after="0" w:line="240" w:lineRule="auto"/>
        <w:contextualSpacing/>
        <w:jc w:val="both"/>
        <w:rPr>
          <w:rFonts w:ascii="Arial" w:hAnsi="Arial" w:cs="Arial"/>
          <w:lang w:eastAsia="es-CR"/>
        </w:rPr>
      </w:pPr>
    </w:p>
    <w:p w14:paraId="7E873BDF" w14:textId="77777777" w:rsidR="00387D65" w:rsidRDefault="00387D65" w:rsidP="00387D65">
      <w:pPr>
        <w:autoSpaceDE w:val="0"/>
        <w:autoSpaceDN w:val="0"/>
        <w:adjustRightInd w:val="0"/>
        <w:spacing w:after="0" w:line="240" w:lineRule="auto"/>
        <w:contextualSpacing/>
        <w:jc w:val="both"/>
        <w:rPr>
          <w:rFonts w:ascii="Arial" w:hAnsi="Arial" w:cs="Arial"/>
          <w:lang w:eastAsia="es-CR"/>
        </w:rPr>
      </w:pPr>
    </w:p>
    <w:p w14:paraId="2510D39F" w14:textId="77777777" w:rsidR="001476B9" w:rsidRPr="00FA6E29" w:rsidRDefault="00767759" w:rsidP="00FA6E29">
      <w:pPr>
        <w:pStyle w:val="Ttulo1"/>
        <w:keepNext w:val="0"/>
        <w:keepLines w:val="0"/>
        <w:spacing w:before="0" w:after="0"/>
        <w:ind w:left="141"/>
        <w:contextualSpacing/>
        <w:jc w:val="both"/>
        <w:rPr>
          <w:rFonts w:ascii="Arial" w:hAnsi="Arial" w:cs="Arial"/>
          <w:b/>
          <w:bCs/>
          <w:color w:val="44546A" w:themeColor="text2"/>
          <w:kern w:val="28"/>
          <w:sz w:val="24"/>
          <w:szCs w:val="24"/>
          <w:lang w:eastAsia="es-ES"/>
        </w:rPr>
      </w:pPr>
      <w:bookmarkStart w:id="52" w:name="_Hlk119507313"/>
      <w:bookmarkStart w:id="53" w:name="_Toc119920109"/>
      <w:r>
        <w:rPr>
          <w:rFonts w:ascii="Arial" w:hAnsi="Arial" w:cs="Arial"/>
          <w:b/>
          <w:bCs/>
          <w:color w:val="44546A" w:themeColor="text2"/>
          <w:kern w:val="28"/>
          <w:sz w:val="24"/>
          <w:szCs w:val="24"/>
          <w:lang w:eastAsia="es-ES"/>
        </w:rPr>
        <w:t xml:space="preserve">2.2.6 </w:t>
      </w:r>
      <w:r w:rsidR="001476B9" w:rsidRPr="00A3234A">
        <w:rPr>
          <w:rFonts w:ascii="Arial" w:hAnsi="Arial" w:cs="Arial"/>
          <w:b/>
          <w:bCs/>
          <w:color w:val="44546A" w:themeColor="text2"/>
          <w:kern w:val="28"/>
          <w:sz w:val="24"/>
          <w:szCs w:val="24"/>
          <w:lang w:eastAsia="es-ES"/>
        </w:rPr>
        <w:t xml:space="preserve">Sobre </w:t>
      </w:r>
      <w:r w:rsidR="00AC449E">
        <w:rPr>
          <w:rFonts w:ascii="Arial" w:hAnsi="Arial" w:cs="Arial"/>
          <w:b/>
          <w:bCs/>
          <w:color w:val="44546A" w:themeColor="text2"/>
          <w:kern w:val="28"/>
          <w:sz w:val="24"/>
          <w:szCs w:val="24"/>
          <w:lang w:eastAsia="es-ES"/>
        </w:rPr>
        <w:t xml:space="preserve">el reporte </w:t>
      </w:r>
      <w:r w:rsidR="004E6BC3">
        <w:rPr>
          <w:rFonts w:ascii="Arial" w:hAnsi="Arial" w:cs="Arial"/>
          <w:b/>
          <w:bCs/>
          <w:color w:val="44546A" w:themeColor="text2"/>
          <w:kern w:val="28"/>
          <w:sz w:val="24"/>
          <w:szCs w:val="24"/>
          <w:lang w:eastAsia="es-ES"/>
        </w:rPr>
        <w:t>de la gestión d</w:t>
      </w:r>
      <w:r w:rsidR="00AC449E">
        <w:rPr>
          <w:rFonts w:ascii="Arial" w:hAnsi="Arial" w:cs="Arial"/>
          <w:b/>
          <w:bCs/>
          <w:color w:val="44546A" w:themeColor="text2"/>
          <w:kern w:val="28"/>
          <w:sz w:val="24"/>
          <w:szCs w:val="24"/>
          <w:lang w:eastAsia="es-ES"/>
        </w:rPr>
        <w:t>el Departamento de Cobro Judicial</w:t>
      </w:r>
      <w:bookmarkEnd w:id="52"/>
      <w:r w:rsidR="001476B9" w:rsidRPr="00A3234A">
        <w:rPr>
          <w:rFonts w:ascii="Arial" w:hAnsi="Arial" w:cs="Arial"/>
          <w:b/>
          <w:bCs/>
          <w:color w:val="44546A" w:themeColor="text2"/>
          <w:kern w:val="28"/>
          <w:sz w:val="24"/>
          <w:szCs w:val="24"/>
          <w:lang w:eastAsia="es-ES"/>
        </w:rPr>
        <w:t>.</w:t>
      </w:r>
      <w:bookmarkEnd w:id="53"/>
    </w:p>
    <w:p w14:paraId="11934D1C" w14:textId="77777777" w:rsidR="00F70F8A" w:rsidRDefault="00F70F8A" w:rsidP="00387D65">
      <w:pPr>
        <w:autoSpaceDE w:val="0"/>
        <w:autoSpaceDN w:val="0"/>
        <w:adjustRightInd w:val="0"/>
        <w:spacing w:after="0" w:line="240" w:lineRule="auto"/>
        <w:contextualSpacing/>
        <w:jc w:val="both"/>
        <w:rPr>
          <w:rFonts w:ascii="Arial" w:hAnsi="Arial" w:cs="Arial"/>
          <w:sz w:val="24"/>
          <w:szCs w:val="24"/>
          <w:lang w:eastAsia="es-CR"/>
        </w:rPr>
      </w:pPr>
    </w:p>
    <w:p w14:paraId="5B01F68C" w14:textId="77777777" w:rsidR="00EC5EC4" w:rsidRPr="00AC449E" w:rsidRDefault="00EC5EC4" w:rsidP="00387D65">
      <w:pPr>
        <w:autoSpaceDE w:val="0"/>
        <w:autoSpaceDN w:val="0"/>
        <w:adjustRightInd w:val="0"/>
        <w:spacing w:after="0" w:line="240" w:lineRule="auto"/>
        <w:contextualSpacing/>
        <w:jc w:val="both"/>
        <w:rPr>
          <w:rFonts w:ascii="Arial" w:hAnsi="Arial" w:cs="Arial"/>
          <w:lang w:eastAsia="es-CR"/>
        </w:rPr>
      </w:pPr>
      <w:r w:rsidRPr="00AC449E">
        <w:rPr>
          <w:rFonts w:ascii="Arial" w:hAnsi="Arial" w:cs="Arial"/>
          <w:lang w:eastAsia="es-CR"/>
        </w:rPr>
        <w:t xml:space="preserve">La Directriz 002-2013 “Generación de la previsión de incobrabilidad sobre cuentas por cobrar; y el Decreto Ejecutivo No. 34460-H “Principios de contabilidad aplicables al sector público costarricense”; políticas contables generales sustentadas en las Normas Internacionales de Contabilidad para el Sector Público (NICSP), y la Directriz CN-005-2010 referente a la conciliación de las cuentas recíprocas entre instituciones públicas y la debida aplicación del devengo, brindan </w:t>
      </w:r>
      <w:r w:rsidR="00BA7794" w:rsidRPr="00AC449E">
        <w:rPr>
          <w:rFonts w:ascii="Arial" w:hAnsi="Arial" w:cs="Arial"/>
          <w:lang w:eastAsia="es-CR"/>
        </w:rPr>
        <w:t>orientación para la aplicación de normas y principios contables.</w:t>
      </w:r>
    </w:p>
    <w:p w14:paraId="755C4EB8" w14:textId="77777777" w:rsidR="00BA7794" w:rsidRPr="00AC449E" w:rsidRDefault="00BA7794" w:rsidP="00387D65">
      <w:pPr>
        <w:autoSpaceDE w:val="0"/>
        <w:autoSpaceDN w:val="0"/>
        <w:adjustRightInd w:val="0"/>
        <w:spacing w:after="0" w:line="240" w:lineRule="auto"/>
        <w:contextualSpacing/>
        <w:jc w:val="both"/>
        <w:rPr>
          <w:rFonts w:ascii="Arial" w:hAnsi="Arial" w:cs="Arial"/>
          <w:lang w:eastAsia="es-CR"/>
        </w:rPr>
      </w:pPr>
    </w:p>
    <w:p w14:paraId="7144DE54" w14:textId="77777777" w:rsidR="003C33EB" w:rsidRDefault="00BB6D61" w:rsidP="003C33EB">
      <w:pPr>
        <w:autoSpaceDE w:val="0"/>
        <w:autoSpaceDN w:val="0"/>
        <w:adjustRightInd w:val="0"/>
        <w:spacing w:after="0" w:line="240" w:lineRule="auto"/>
        <w:contextualSpacing/>
        <w:jc w:val="both"/>
        <w:rPr>
          <w:rFonts w:ascii="Arial" w:hAnsi="Arial" w:cs="Arial"/>
        </w:rPr>
      </w:pPr>
      <w:r>
        <w:rPr>
          <w:rFonts w:ascii="Arial" w:hAnsi="Arial" w:cs="Arial"/>
          <w:lang w:eastAsia="es-CR"/>
        </w:rPr>
        <w:t xml:space="preserve">En </w:t>
      </w:r>
      <w:r w:rsidR="003C33EB">
        <w:rPr>
          <w:rFonts w:ascii="Arial" w:hAnsi="Arial" w:cs="Arial"/>
          <w:lang w:eastAsia="es-CR"/>
        </w:rPr>
        <w:t>e</w:t>
      </w:r>
      <w:r>
        <w:rPr>
          <w:rFonts w:ascii="Arial" w:hAnsi="Arial" w:cs="Arial"/>
          <w:lang w:eastAsia="es-CR"/>
        </w:rPr>
        <w:t xml:space="preserve">l informe </w:t>
      </w:r>
      <w:r>
        <w:rPr>
          <w:rFonts w:ascii="Arial" w:hAnsi="Arial" w:cs="Arial"/>
          <w:color w:val="000000"/>
          <w:lang w:eastAsia="es-CR"/>
        </w:rPr>
        <w:t>AI-INF-027-2017</w:t>
      </w:r>
      <w:r w:rsidR="003C33EB">
        <w:rPr>
          <w:rFonts w:ascii="Arial" w:hAnsi="Arial" w:cs="Arial"/>
          <w:color w:val="000000"/>
          <w:lang w:eastAsia="es-CR"/>
        </w:rPr>
        <w:t xml:space="preserve"> se </w:t>
      </w:r>
      <w:r w:rsidR="00B510C9">
        <w:rPr>
          <w:rFonts w:ascii="Arial" w:hAnsi="Arial" w:cs="Arial"/>
          <w:color w:val="000000"/>
          <w:lang w:eastAsia="es-CR"/>
        </w:rPr>
        <w:t>señal</w:t>
      </w:r>
      <w:r w:rsidR="00FA6E29">
        <w:rPr>
          <w:rFonts w:ascii="Arial" w:hAnsi="Arial" w:cs="Arial"/>
          <w:color w:val="000000"/>
          <w:lang w:eastAsia="es-CR"/>
        </w:rPr>
        <w:t>ó</w:t>
      </w:r>
      <w:r w:rsidR="00B510C9" w:rsidRPr="00710229">
        <w:rPr>
          <w:rFonts w:ascii="Arial" w:hAnsi="Arial" w:cs="Arial"/>
        </w:rPr>
        <w:t xml:space="preserve"> </w:t>
      </w:r>
      <w:r w:rsidR="003C33EB" w:rsidRPr="00710229">
        <w:rPr>
          <w:rFonts w:ascii="Arial" w:hAnsi="Arial" w:cs="Arial"/>
        </w:rPr>
        <w:t>que l</w:t>
      </w:r>
      <w:r w:rsidR="003C33EB" w:rsidRPr="00710229">
        <w:rPr>
          <w:rFonts w:ascii="Arial" w:eastAsia="SimSun" w:hAnsi="Arial" w:cs="Arial"/>
          <w:lang w:val="es-ES_tradnl"/>
        </w:rPr>
        <w:t xml:space="preserve">a documentación </w:t>
      </w:r>
      <w:r w:rsidR="003C33EB">
        <w:rPr>
          <w:rFonts w:ascii="Arial" w:eastAsia="SimSun" w:hAnsi="Arial" w:cs="Arial"/>
          <w:lang w:val="es-ES_tradnl"/>
        </w:rPr>
        <w:t>contable de la gestión,</w:t>
      </w:r>
      <w:r w:rsidR="003C33EB" w:rsidRPr="00710229">
        <w:rPr>
          <w:rFonts w:ascii="Arial" w:eastAsia="SimSun" w:hAnsi="Arial" w:cs="Arial"/>
          <w:lang w:val="es-ES_tradnl"/>
        </w:rPr>
        <w:t xml:space="preserve"> aportada por el Departamento de Cobro Judicial, no es entregada de manera formal, con la revelación adecuada de la información tanto de las dependencias del Ministerio, como de las demás entidades gubernamentales</w:t>
      </w:r>
      <w:r w:rsidR="003C33EB" w:rsidRPr="00710229">
        <w:rPr>
          <w:rFonts w:ascii="Arial" w:eastAsia="SimSun" w:hAnsi="Arial" w:cs="Arial"/>
        </w:rPr>
        <w:t xml:space="preserve">, lo </w:t>
      </w:r>
      <w:r w:rsidR="003C33EB">
        <w:rPr>
          <w:rFonts w:ascii="Arial" w:eastAsia="SimSun" w:hAnsi="Arial" w:cs="Arial"/>
        </w:rPr>
        <w:t>cual</w:t>
      </w:r>
      <w:r w:rsidR="003C33EB" w:rsidRPr="00710229">
        <w:rPr>
          <w:rFonts w:ascii="Arial" w:eastAsia="SimSun" w:hAnsi="Arial" w:cs="Arial"/>
        </w:rPr>
        <w:t xml:space="preserve"> ocasiona que se pierda razonabilidad del saldo que se reporta, y que se debilite esta información como fuente primaria, confiable y precisa, para la toma de decisiones</w:t>
      </w:r>
      <w:r w:rsidR="003C33EB">
        <w:rPr>
          <w:rFonts w:ascii="Arial" w:eastAsia="SimSun" w:hAnsi="Arial" w:cs="Arial"/>
        </w:rPr>
        <w:t>, asimismo, l</w:t>
      </w:r>
      <w:r w:rsidR="003C33EB" w:rsidRPr="00710229">
        <w:rPr>
          <w:rFonts w:ascii="Arial" w:eastAsia="SimSun" w:hAnsi="Arial" w:cs="Arial"/>
          <w:lang w:val="es-ES_tradnl"/>
        </w:rPr>
        <w:t xml:space="preserve">os montos exiguos se incluyen en la cartera de Cobro Judicial sin diferenciación, por lo que su envío para registro de la Contabilidad Nacional, implica que no sean registrados correctamente, según los principios de </w:t>
      </w:r>
      <w:r w:rsidR="003C33EB" w:rsidRPr="00710229">
        <w:rPr>
          <w:rFonts w:ascii="Arial" w:hAnsi="Arial" w:cs="Arial"/>
        </w:rPr>
        <w:t>“registro” y “revelación” de las NICSP.</w:t>
      </w:r>
      <w:r w:rsidR="003C33EB">
        <w:rPr>
          <w:rFonts w:ascii="Arial" w:hAnsi="Arial" w:cs="Arial"/>
        </w:rPr>
        <w:t xml:space="preserve">  </w:t>
      </w:r>
    </w:p>
    <w:p w14:paraId="7A123586" w14:textId="77777777" w:rsidR="00BA7794" w:rsidRPr="00AC449E" w:rsidRDefault="009D0F61" w:rsidP="00387D65">
      <w:pPr>
        <w:autoSpaceDE w:val="0"/>
        <w:autoSpaceDN w:val="0"/>
        <w:adjustRightInd w:val="0"/>
        <w:spacing w:after="0" w:line="240" w:lineRule="auto"/>
        <w:contextualSpacing/>
        <w:jc w:val="both"/>
        <w:rPr>
          <w:rFonts w:ascii="Arial" w:hAnsi="Arial" w:cs="Arial"/>
          <w:lang w:eastAsia="es-CR"/>
        </w:rPr>
      </w:pPr>
      <w:r w:rsidRPr="00AC449E">
        <w:rPr>
          <w:rFonts w:ascii="Arial" w:hAnsi="Arial" w:cs="Arial"/>
          <w:lang w:eastAsia="es-CR"/>
        </w:rPr>
        <w:lastRenderedPageBreak/>
        <w:t xml:space="preserve">La causa de lo anterior se debe </w:t>
      </w:r>
      <w:r w:rsidR="00B50E1A">
        <w:rPr>
          <w:rFonts w:ascii="Arial" w:hAnsi="Arial" w:cs="Arial"/>
          <w:lang w:eastAsia="es-CR"/>
        </w:rPr>
        <w:t xml:space="preserve">que </w:t>
      </w:r>
      <w:r w:rsidR="004305DD">
        <w:rPr>
          <w:rFonts w:ascii="Arial" w:hAnsi="Arial" w:cs="Arial"/>
          <w:lang w:eastAsia="es-CR"/>
        </w:rPr>
        <w:t xml:space="preserve">aún </w:t>
      </w:r>
      <w:r w:rsidR="00B50E1A">
        <w:rPr>
          <w:rFonts w:ascii="Arial" w:hAnsi="Arial" w:cs="Arial"/>
          <w:lang w:eastAsia="es-CR"/>
        </w:rPr>
        <w:t>no se cuenta con</w:t>
      </w:r>
      <w:r w:rsidR="00AC449E">
        <w:rPr>
          <w:rFonts w:ascii="Arial" w:hAnsi="Arial" w:cs="Arial"/>
          <w:lang w:eastAsia="es-CR"/>
        </w:rPr>
        <w:t xml:space="preserve"> un instructivo para la elaboración de informes técnicos</w:t>
      </w:r>
      <w:r w:rsidR="00132886">
        <w:rPr>
          <w:rFonts w:ascii="Arial" w:hAnsi="Arial" w:cs="Arial"/>
          <w:lang w:eastAsia="es-CR"/>
        </w:rPr>
        <w:t>,</w:t>
      </w:r>
      <w:r w:rsidR="00AC449E">
        <w:rPr>
          <w:rFonts w:ascii="Arial" w:hAnsi="Arial" w:cs="Arial"/>
          <w:lang w:eastAsia="es-CR"/>
        </w:rPr>
        <w:t xml:space="preserve"> que </w:t>
      </w:r>
      <w:r w:rsidR="005E41CD">
        <w:rPr>
          <w:rFonts w:ascii="Arial" w:hAnsi="Arial" w:cs="Arial"/>
          <w:lang w:eastAsia="es-CR"/>
        </w:rPr>
        <w:t>defina la forma de presentar</w:t>
      </w:r>
      <w:r w:rsidR="00AC449E">
        <w:rPr>
          <w:rFonts w:ascii="Arial" w:hAnsi="Arial" w:cs="Arial"/>
          <w:lang w:eastAsia="es-CR"/>
        </w:rPr>
        <w:t xml:space="preserve"> las acciones ejecutadas, incluidos resultados globales e individuales por Dependencia y entidad gubernamental, en relación con la recuperación de la cartera en cobro judicial</w:t>
      </w:r>
      <w:r w:rsidR="004305DD">
        <w:rPr>
          <w:rFonts w:ascii="Arial" w:hAnsi="Arial" w:cs="Arial"/>
          <w:lang w:eastAsia="es-CR"/>
        </w:rPr>
        <w:t>, lo cual se había recomendado en el punto 3.2 del informe AI</w:t>
      </w:r>
      <w:r w:rsidR="001D19CF">
        <w:rPr>
          <w:rFonts w:ascii="Arial" w:hAnsi="Arial" w:cs="Arial"/>
          <w:lang w:eastAsia="es-CR"/>
        </w:rPr>
        <w:t>-</w:t>
      </w:r>
      <w:r w:rsidR="004305DD">
        <w:rPr>
          <w:rFonts w:ascii="Arial" w:hAnsi="Arial" w:cs="Arial"/>
          <w:lang w:eastAsia="es-CR"/>
        </w:rPr>
        <w:t>INF-027-2017 citado</w:t>
      </w:r>
      <w:r w:rsidRPr="00AC449E">
        <w:rPr>
          <w:rFonts w:ascii="Arial" w:hAnsi="Arial" w:cs="Arial"/>
          <w:lang w:eastAsia="es-CR"/>
        </w:rPr>
        <w:t>.</w:t>
      </w:r>
    </w:p>
    <w:p w14:paraId="279C3D02" w14:textId="77777777" w:rsidR="009D0F61" w:rsidRPr="00AC449E" w:rsidRDefault="009D0F61" w:rsidP="00387D65">
      <w:pPr>
        <w:autoSpaceDE w:val="0"/>
        <w:autoSpaceDN w:val="0"/>
        <w:adjustRightInd w:val="0"/>
        <w:spacing w:after="0" w:line="240" w:lineRule="auto"/>
        <w:contextualSpacing/>
        <w:jc w:val="both"/>
        <w:rPr>
          <w:rFonts w:ascii="Arial" w:hAnsi="Arial" w:cs="Arial"/>
          <w:lang w:eastAsia="es-CR"/>
        </w:rPr>
      </w:pPr>
    </w:p>
    <w:p w14:paraId="2FDD3BC9" w14:textId="657B13FA" w:rsidR="00062247" w:rsidRDefault="009D0F61" w:rsidP="00387D65">
      <w:pPr>
        <w:autoSpaceDE w:val="0"/>
        <w:autoSpaceDN w:val="0"/>
        <w:adjustRightInd w:val="0"/>
        <w:spacing w:after="0" w:line="240" w:lineRule="auto"/>
        <w:contextualSpacing/>
        <w:jc w:val="both"/>
        <w:rPr>
          <w:rFonts w:ascii="Arial" w:hAnsi="Arial" w:cs="Arial"/>
          <w:lang w:eastAsia="es-CR"/>
        </w:rPr>
      </w:pPr>
      <w:r w:rsidRPr="00AC449E">
        <w:rPr>
          <w:rFonts w:ascii="Arial" w:hAnsi="Arial" w:cs="Arial"/>
          <w:lang w:eastAsia="es-CR"/>
        </w:rPr>
        <w:t xml:space="preserve">Como </w:t>
      </w:r>
      <w:r w:rsidR="0004431E">
        <w:rPr>
          <w:rFonts w:ascii="Arial" w:hAnsi="Arial" w:cs="Arial"/>
          <w:lang w:eastAsia="es-CR"/>
        </w:rPr>
        <w:t>consecuencia,</w:t>
      </w:r>
      <w:r w:rsidRPr="00AC449E">
        <w:rPr>
          <w:rFonts w:ascii="Arial" w:hAnsi="Arial" w:cs="Arial"/>
          <w:lang w:eastAsia="es-CR"/>
        </w:rPr>
        <w:t xml:space="preserve"> </w:t>
      </w:r>
      <w:r w:rsidR="004305DD">
        <w:rPr>
          <w:rFonts w:ascii="Arial" w:hAnsi="Arial" w:cs="Arial"/>
          <w:lang w:eastAsia="es-CR"/>
        </w:rPr>
        <w:t xml:space="preserve">se mantiene la debilidad identificada </w:t>
      </w:r>
      <w:r w:rsidR="00EB235C">
        <w:rPr>
          <w:rFonts w:ascii="Arial" w:hAnsi="Arial" w:cs="Arial"/>
          <w:lang w:eastAsia="es-CR"/>
        </w:rPr>
        <w:t xml:space="preserve">anteriormente, </w:t>
      </w:r>
      <w:r w:rsidR="00234492">
        <w:rPr>
          <w:rFonts w:ascii="Arial" w:hAnsi="Arial" w:cs="Arial"/>
          <w:lang w:eastAsia="es-CR"/>
        </w:rPr>
        <w:t>con el consecuente</w:t>
      </w:r>
      <w:r w:rsidR="004305DD">
        <w:rPr>
          <w:rFonts w:ascii="Arial" w:hAnsi="Arial" w:cs="Arial"/>
          <w:lang w:eastAsia="es-CR"/>
        </w:rPr>
        <w:t xml:space="preserve"> </w:t>
      </w:r>
      <w:r w:rsidRPr="00AC449E">
        <w:rPr>
          <w:rFonts w:ascii="Arial" w:hAnsi="Arial" w:cs="Arial"/>
          <w:lang w:eastAsia="es-CR"/>
        </w:rPr>
        <w:t xml:space="preserve">riesgo </w:t>
      </w:r>
      <w:r w:rsidR="0004431E">
        <w:rPr>
          <w:rFonts w:ascii="Arial" w:hAnsi="Arial" w:cs="Arial"/>
          <w:lang w:eastAsia="es-CR"/>
        </w:rPr>
        <w:t>de que el proceso de rendición de cuentas se vea afectado</w:t>
      </w:r>
      <w:r w:rsidRPr="00AC449E">
        <w:rPr>
          <w:rFonts w:ascii="Arial" w:hAnsi="Arial" w:cs="Arial"/>
          <w:lang w:eastAsia="es-CR"/>
        </w:rPr>
        <w:t>.</w:t>
      </w:r>
      <w:r>
        <w:rPr>
          <w:rFonts w:ascii="Arial" w:hAnsi="Arial" w:cs="Arial"/>
          <w:lang w:eastAsia="es-CR"/>
        </w:rPr>
        <w:t xml:space="preserve"> </w:t>
      </w:r>
      <w:r w:rsidR="00A94EC0">
        <w:rPr>
          <w:rFonts w:ascii="Arial" w:hAnsi="Arial" w:cs="Arial"/>
          <w:lang w:eastAsia="es-CR"/>
        </w:rPr>
        <w:t xml:space="preserve"> </w:t>
      </w:r>
    </w:p>
    <w:p w14:paraId="554B617D" w14:textId="77777777" w:rsidR="004305DD" w:rsidRDefault="004305DD" w:rsidP="00387D65">
      <w:pPr>
        <w:autoSpaceDE w:val="0"/>
        <w:autoSpaceDN w:val="0"/>
        <w:adjustRightInd w:val="0"/>
        <w:spacing w:after="0" w:line="240" w:lineRule="auto"/>
        <w:contextualSpacing/>
        <w:jc w:val="both"/>
        <w:rPr>
          <w:rFonts w:ascii="Arial" w:hAnsi="Arial" w:cs="Arial"/>
          <w:lang w:eastAsia="es-CR"/>
        </w:rPr>
      </w:pPr>
    </w:p>
    <w:p w14:paraId="47E7DF96" w14:textId="77777777" w:rsidR="007A4738" w:rsidRDefault="007A4738" w:rsidP="00387D65">
      <w:pPr>
        <w:pStyle w:val="Ttulo1"/>
        <w:spacing w:before="0" w:after="0"/>
        <w:contextualSpacing/>
        <w:rPr>
          <w:rFonts w:ascii="Arial" w:hAnsi="Arial" w:cs="Arial"/>
          <w:b/>
          <w:color w:val="1F3864" w:themeColor="accent5" w:themeShade="80"/>
          <w:sz w:val="24"/>
          <w:szCs w:val="24"/>
        </w:rPr>
      </w:pPr>
    </w:p>
    <w:p w14:paraId="25795BE7" w14:textId="77777777" w:rsidR="00C015B2" w:rsidRPr="00850B20" w:rsidRDefault="00A3234A" w:rsidP="00387D65">
      <w:pPr>
        <w:pStyle w:val="Ttulo1"/>
        <w:keepNext w:val="0"/>
        <w:keepLines w:val="0"/>
        <w:numPr>
          <w:ilvl w:val="0"/>
          <w:numId w:val="19"/>
        </w:numPr>
        <w:spacing w:before="0" w:after="0"/>
        <w:ind w:left="470" w:right="22" w:hanging="470"/>
        <w:contextualSpacing/>
        <w:jc w:val="both"/>
        <w:rPr>
          <w:rFonts w:ascii="Arial" w:hAnsi="Arial" w:cs="Arial"/>
          <w:sz w:val="24"/>
          <w:szCs w:val="24"/>
        </w:rPr>
      </w:pPr>
      <w:bookmarkStart w:id="54" w:name="_Toc118725912"/>
      <w:bookmarkStart w:id="55" w:name="_Toc118798819"/>
      <w:bookmarkStart w:id="56" w:name="_Toc119920110"/>
      <w:r w:rsidRPr="00850B20">
        <w:rPr>
          <w:rFonts w:ascii="Arial" w:hAnsi="Arial" w:cs="Arial"/>
          <w:b/>
          <w:bCs/>
          <w:color w:val="44546A" w:themeColor="text2"/>
          <w:kern w:val="28"/>
          <w:sz w:val="28"/>
          <w:szCs w:val="28"/>
          <w:lang w:eastAsia="es-ES"/>
        </w:rPr>
        <w:t>CONCLUSI</w:t>
      </w:r>
      <w:bookmarkEnd w:id="41"/>
      <w:bookmarkEnd w:id="54"/>
      <w:bookmarkEnd w:id="55"/>
      <w:r w:rsidR="00850B20">
        <w:rPr>
          <w:rFonts w:ascii="Arial" w:hAnsi="Arial" w:cs="Arial"/>
          <w:b/>
          <w:bCs/>
          <w:color w:val="44546A" w:themeColor="text2"/>
          <w:kern w:val="28"/>
          <w:sz w:val="28"/>
          <w:szCs w:val="28"/>
          <w:lang w:eastAsia="es-ES"/>
        </w:rPr>
        <w:t>ÓN</w:t>
      </w:r>
      <w:bookmarkEnd w:id="56"/>
    </w:p>
    <w:p w14:paraId="3BC781AA" w14:textId="77777777" w:rsidR="005E41CD" w:rsidRDefault="005E41CD" w:rsidP="00387D65">
      <w:pPr>
        <w:spacing w:after="0" w:line="240" w:lineRule="auto"/>
        <w:ind w:right="22"/>
        <w:contextualSpacing/>
        <w:jc w:val="both"/>
        <w:rPr>
          <w:rFonts w:ascii="Arial" w:hAnsi="Arial" w:cs="Arial"/>
          <w:sz w:val="24"/>
          <w:szCs w:val="24"/>
        </w:rPr>
      </w:pPr>
    </w:p>
    <w:p w14:paraId="6FC61AF1" w14:textId="77777777" w:rsidR="00AD2AB3" w:rsidRDefault="0093655F" w:rsidP="00387D65">
      <w:pPr>
        <w:spacing w:after="0" w:line="240" w:lineRule="auto"/>
        <w:ind w:right="22"/>
        <w:contextualSpacing/>
        <w:jc w:val="both"/>
        <w:rPr>
          <w:rFonts w:ascii="Arial" w:hAnsi="Arial" w:cs="Arial"/>
          <w:color w:val="000000" w:themeColor="text1"/>
        </w:rPr>
      </w:pPr>
      <w:r w:rsidRPr="004A7E0C">
        <w:rPr>
          <w:rFonts w:ascii="Arial" w:hAnsi="Arial" w:cs="Arial"/>
          <w:color w:val="000000" w:themeColor="text1"/>
        </w:rPr>
        <w:t xml:space="preserve">La gestión realizada por parte de la División de Adeudos Estatales para el cumplimiento de las recomendaciones emitidas por parte de la Auditoría Interna del Ministerio de Hacienda, no se ajusta en su totalidad con lo establecido en la Ley General de Control Interno, lo anterior se concluye, en razón de que de las 42 recomendaciones objeto de estudio sólo se cumplieron 17. </w:t>
      </w:r>
    </w:p>
    <w:p w14:paraId="1E0474A2" w14:textId="77777777" w:rsidR="00AD2AB3" w:rsidRDefault="00AD2AB3" w:rsidP="00387D65">
      <w:pPr>
        <w:spacing w:after="0" w:line="240" w:lineRule="auto"/>
        <w:ind w:right="22"/>
        <w:contextualSpacing/>
        <w:jc w:val="both"/>
        <w:rPr>
          <w:rFonts w:ascii="Arial" w:hAnsi="Arial" w:cs="Arial"/>
          <w:color w:val="000000" w:themeColor="text1"/>
        </w:rPr>
      </w:pPr>
    </w:p>
    <w:p w14:paraId="2BFB1FAD" w14:textId="77777777" w:rsidR="00C64FCF" w:rsidRDefault="00C64FCF" w:rsidP="00387D65">
      <w:pPr>
        <w:spacing w:after="0" w:line="240" w:lineRule="auto"/>
        <w:ind w:right="22"/>
        <w:contextualSpacing/>
        <w:jc w:val="both"/>
        <w:rPr>
          <w:rFonts w:ascii="Arial" w:hAnsi="Arial" w:cs="Arial"/>
          <w:color w:val="000000" w:themeColor="text1"/>
        </w:rPr>
      </w:pPr>
      <w:r>
        <w:rPr>
          <w:rFonts w:ascii="Arial" w:hAnsi="Arial" w:cs="Arial"/>
          <w:color w:val="000000" w:themeColor="text1"/>
        </w:rPr>
        <w:t>De esas</w:t>
      </w:r>
      <w:r w:rsidRPr="00C64FCF">
        <w:rPr>
          <w:rFonts w:ascii="Arial" w:hAnsi="Arial" w:cs="Arial"/>
          <w:color w:val="000000" w:themeColor="text1"/>
        </w:rPr>
        <w:t xml:space="preserve"> 17 recomendaciones aún no cumplidas por parte de la División de Adeudos Estatales, </w:t>
      </w:r>
      <w:r>
        <w:rPr>
          <w:rFonts w:ascii="Arial" w:hAnsi="Arial" w:cs="Arial"/>
          <w:color w:val="000000" w:themeColor="text1"/>
        </w:rPr>
        <w:t xml:space="preserve">están </w:t>
      </w:r>
      <w:r w:rsidRPr="00C64FCF">
        <w:rPr>
          <w:rFonts w:ascii="Arial" w:hAnsi="Arial" w:cs="Arial"/>
          <w:color w:val="000000" w:themeColor="text1"/>
        </w:rPr>
        <w:t>relacionadas con el proceso de administración y custodia de la información y documentación, información contenida en el sistema, los controles establecidos en razón de la trazabilidad de la información y el diseño del proceso de cobro Judicial y con la elaboración y presentación de informes técnicos sobre la gestión del Departamento de Cobro Judicial.</w:t>
      </w:r>
    </w:p>
    <w:p w14:paraId="5BFB0BDC" w14:textId="77777777" w:rsidR="00FA6E29" w:rsidRDefault="00FA6E29" w:rsidP="00387D65">
      <w:pPr>
        <w:spacing w:after="0" w:line="240" w:lineRule="auto"/>
        <w:ind w:right="22"/>
        <w:contextualSpacing/>
        <w:jc w:val="both"/>
        <w:rPr>
          <w:rFonts w:ascii="Arial" w:hAnsi="Arial" w:cs="Arial"/>
          <w:color w:val="000000" w:themeColor="text1"/>
        </w:rPr>
      </w:pPr>
    </w:p>
    <w:p w14:paraId="4902D2DC" w14:textId="77777777" w:rsidR="0093655F" w:rsidRPr="004A7E0C" w:rsidRDefault="004D7A6B" w:rsidP="00387D65">
      <w:pPr>
        <w:spacing w:after="0" w:line="240" w:lineRule="auto"/>
        <w:ind w:right="22"/>
        <w:contextualSpacing/>
        <w:jc w:val="both"/>
        <w:rPr>
          <w:rFonts w:ascii="Arial" w:hAnsi="Arial" w:cs="Arial"/>
          <w:color w:val="000000" w:themeColor="text1"/>
        </w:rPr>
      </w:pPr>
      <w:r>
        <w:rPr>
          <w:rFonts w:ascii="Arial" w:hAnsi="Arial" w:cs="Arial"/>
          <w:color w:val="000000" w:themeColor="text1"/>
        </w:rPr>
        <w:t>La</w:t>
      </w:r>
      <w:r w:rsidR="0093655F" w:rsidRPr="004A7E0C">
        <w:rPr>
          <w:rFonts w:ascii="Arial" w:hAnsi="Arial" w:cs="Arial"/>
          <w:color w:val="000000" w:themeColor="text1"/>
        </w:rPr>
        <w:t xml:space="preserve"> diferencia de 5 </w:t>
      </w:r>
      <w:r w:rsidR="00845D4C" w:rsidRPr="004A7E0C">
        <w:rPr>
          <w:rFonts w:ascii="Arial" w:hAnsi="Arial" w:cs="Arial"/>
          <w:color w:val="000000" w:themeColor="text1"/>
        </w:rPr>
        <w:t>recomendaciones responde</w:t>
      </w:r>
      <w:r w:rsidR="0093655F" w:rsidRPr="004A7E0C">
        <w:rPr>
          <w:rFonts w:ascii="Arial" w:hAnsi="Arial" w:cs="Arial"/>
          <w:color w:val="000000" w:themeColor="text1"/>
        </w:rPr>
        <w:t xml:space="preserve"> a solicitud </w:t>
      </w:r>
      <w:r w:rsidR="00A40BD3">
        <w:rPr>
          <w:rFonts w:ascii="Arial" w:hAnsi="Arial" w:cs="Arial"/>
          <w:color w:val="000000" w:themeColor="text1"/>
        </w:rPr>
        <w:t xml:space="preserve">por parte de la División de Adeudos Estatales </w:t>
      </w:r>
      <w:r w:rsidR="0093655F" w:rsidRPr="004A7E0C">
        <w:rPr>
          <w:rFonts w:ascii="Arial" w:hAnsi="Arial" w:cs="Arial"/>
          <w:color w:val="000000" w:themeColor="text1"/>
        </w:rPr>
        <w:t>para dejar sin efecto lo recomendado</w:t>
      </w:r>
      <w:r w:rsidR="00845D4C">
        <w:rPr>
          <w:rFonts w:ascii="Arial" w:hAnsi="Arial" w:cs="Arial"/>
          <w:color w:val="000000" w:themeColor="text1"/>
        </w:rPr>
        <w:t>,</w:t>
      </w:r>
      <w:r w:rsidR="00A40BD3">
        <w:rPr>
          <w:rFonts w:ascii="Arial" w:hAnsi="Arial" w:cs="Arial"/>
          <w:color w:val="000000" w:themeColor="text1"/>
        </w:rPr>
        <w:t xml:space="preserve"> lo anterior </w:t>
      </w:r>
      <w:r w:rsidR="00845D4C">
        <w:rPr>
          <w:rFonts w:ascii="Arial" w:hAnsi="Arial" w:cs="Arial"/>
          <w:color w:val="000000" w:themeColor="text1"/>
        </w:rPr>
        <w:t>por presentar</w:t>
      </w:r>
      <w:r w:rsidR="00A40BD3">
        <w:rPr>
          <w:rFonts w:ascii="Arial" w:hAnsi="Arial" w:cs="Arial"/>
          <w:color w:val="000000" w:themeColor="text1"/>
        </w:rPr>
        <w:t xml:space="preserve"> </w:t>
      </w:r>
      <w:r w:rsidR="0093655F" w:rsidRPr="004A7E0C">
        <w:rPr>
          <w:rFonts w:ascii="Arial" w:hAnsi="Arial" w:cs="Arial"/>
          <w:color w:val="000000" w:themeColor="text1"/>
        </w:rPr>
        <w:t>una variación en las condiciones de lo reportado en su oportunidad.</w:t>
      </w:r>
      <w:r w:rsidR="00EB235C">
        <w:rPr>
          <w:rFonts w:ascii="Arial" w:hAnsi="Arial" w:cs="Arial"/>
          <w:color w:val="000000" w:themeColor="text1"/>
        </w:rPr>
        <w:t xml:space="preserve">  El detalle se presenta en la siguiente Tabla N°</w:t>
      </w:r>
      <w:r w:rsidR="00FA6E29">
        <w:rPr>
          <w:rFonts w:ascii="Arial" w:hAnsi="Arial" w:cs="Arial"/>
          <w:color w:val="000000" w:themeColor="text1"/>
        </w:rPr>
        <w:t>1</w:t>
      </w:r>
      <w:r w:rsidR="00EB235C">
        <w:rPr>
          <w:rFonts w:ascii="Arial" w:hAnsi="Arial" w:cs="Arial"/>
          <w:color w:val="000000" w:themeColor="text1"/>
        </w:rPr>
        <w:t>:</w:t>
      </w:r>
    </w:p>
    <w:p w14:paraId="0C6016E5" w14:textId="77777777" w:rsidR="0093655F" w:rsidRPr="004A7E0C" w:rsidRDefault="0093655F" w:rsidP="00387D65">
      <w:pPr>
        <w:spacing w:after="0" w:line="240" w:lineRule="auto"/>
        <w:ind w:right="22"/>
        <w:contextualSpacing/>
        <w:jc w:val="both"/>
        <w:rPr>
          <w:rFonts w:ascii="Arial" w:hAnsi="Arial" w:cs="Arial"/>
          <w:color w:val="000000" w:themeColor="text1"/>
        </w:rPr>
      </w:pPr>
    </w:p>
    <w:p w14:paraId="5D5B01EB" w14:textId="7E668B57" w:rsidR="00D126ED" w:rsidRPr="00862BEA" w:rsidRDefault="00862BEA" w:rsidP="00387D65">
      <w:pPr>
        <w:spacing w:after="0" w:line="240" w:lineRule="auto"/>
        <w:ind w:right="22"/>
        <w:contextualSpacing/>
        <w:jc w:val="center"/>
        <w:rPr>
          <w:rFonts w:ascii="Arial" w:hAnsi="Arial" w:cs="Arial"/>
          <w:b/>
          <w:color w:val="1F3864" w:themeColor="accent5" w:themeShade="80"/>
        </w:rPr>
      </w:pPr>
      <w:r w:rsidRPr="00862BEA">
        <w:rPr>
          <w:rFonts w:ascii="Arial" w:hAnsi="Arial" w:cs="Arial"/>
          <w:b/>
          <w:color w:val="1F3864" w:themeColor="accent5" w:themeShade="80"/>
        </w:rPr>
        <w:t>Tabla</w:t>
      </w:r>
      <w:r w:rsidR="00D126ED" w:rsidRPr="00862BEA">
        <w:rPr>
          <w:rFonts w:ascii="Arial" w:hAnsi="Arial" w:cs="Arial"/>
          <w:b/>
          <w:color w:val="1F3864" w:themeColor="accent5" w:themeShade="80"/>
        </w:rPr>
        <w:t xml:space="preserve"> </w:t>
      </w:r>
      <w:proofErr w:type="spellStart"/>
      <w:r w:rsidR="00D126ED" w:rsidRPr="00862BEA">
        <w:rPr>
          <w:rFonts w:ascii="Arial" w:hAnsi="Arial" w:cs="Arial"/>
          <w:b/>
          <w:color w:val="1F3864" w:themeColor="accent5" w:themeShade="80"/>
        </w:rPr>
        <w:t>N</w:t>
      </w:r>
      <w:r w:rsidR="007A1910">
        <w:rPr>
          <w:rFonts w:ascii="Arial" w:hAnsi="Arial" w:cs="Arial"/>
          <w:b/>
          <w:color w:val="1F3864" w:themeColor="accent5" w:themeShade="80"/>
        </w:rPr>
        <w:t>°</w:t>
      </w:r>
      <w:proofErr w:type="spellEnd"/>
      <w:r w:rsidR="00D126ED" w:rsidRPr="00862BEA">
        <w:rPr>
          <w:rFonts w:ascii="Arial" w:hAnsi="Arial" w:cs="Arial"/>
          <w:b/>
          <w:color w:val="1F3864" w:themeColor="accent5" w:themeShade="80"/>
        </w:rPr>
        <w:t xml:space="preserve"> </w:t>
      </w:r>
      <w:r w:rsidR="00FA6E29">
        <w:rPr>
          <w:rFonts w:ascii="Arial" w:hAnsi="Arial" w:cs="Arial"/>
          <w:b/>
          <w:color w:val="1F3864" w:themeColor="accent5" w:themeShade="80"/>
        </w:rPr>
        <w:t>1</w:t>
      </w:r>
    </w:p>
    <w:p w14:paraId="07656D17" w14:textId="77777777" w:rsidR="00D126ED" w:rsidRDefault="00D126ED" w:rsidP="00387D65">
      <w:pPr>
        <w:spacing w:after="0" w:line="240" w:lineRule="auto"/>
        <w:ind w:right="22"/>
        <w:contextualSpacing/>
        <w:jc w:val="center"/>
        <w:rPr>
          <w:rFonts w:ascii="Arial" w:hAnsi="Arial" w:cs="Arial"/>
          <w:b/>
          <w:color w:val="1F3864" w:themeColor="accent5" w:themeShade="80"/>
        </w:rPr>
      </w:pPr>
      <w:r w:rsidRPr="00862BEA">
        <w:rPr>
          <w:rFonts w:ascii="Arial" w:hAnsi="Arial" w:cs="Arial"/>
          <w:b/>
          <w:color w:val="1F3864" w:themeColor="accent5" w:themeShade="80"/>
        </w:rPr>
        <w:t>Estado final de recomendaciones revisadas en este estudio</w:t>
      </w:r>
    </w:p>
    <w:p w14:paraId="5916C13A" w14:textId="77777777" w:rsidR="00FA6E29" w:rsidRPr="00FA6E29" w:rsidRDefault="00FA6E29" w:rsidP="00387D65">
      <w:pPr>
        <w:spacing w:after="0" w:line="240" w:lineRule="auto"/>
        <w:ind w:right="22"/>
        <w:contextualSpacing/>
        <w:jc w:val="center"/>
        <w:rPr>
          <w:rFonts w:ascii="Arial" w:hAnsi="Arial" w:cs="Arial"/>
          <w:b/>
          <w:color w:val="1F3864" w:themeColor="accent5" w:themeShade="80"/>
          <w:szCs w:val="24"/>
        </w:rPr>
      </w:pPr>
      <w:r w:rsidRPr="00FA6E29">
        <w:rPr>
          <w:rFonts w:ascii="Arial" w:hAnsi="Arial" w:cs="Arial"/>
          <w:b/>
          <w:color w:val="1F3864" w:themeColor="accent5" w:themeShade="80"/>
          <w:szCs w:val="24"/>
        </w:rPr>
        <w:t>A noviembre de 2022</w:t>
      </w:r>
    </w:p>
    <w:tbl>
      <w:tblPr>
        <w:tblStyle w:val="Tablaconcuadrcula"/>
        <w:tblW w:w="0" w:type="auto"/>
        <w:tblLook w:val="04A0" w:firstRow="1" w:lastRow="0" w:firstColumn="1" w:lastColumn="0" w:noHBand="0" w:noVBand="1"/>
      </w:tblPr>
      <w:tblGrid>
        <w:gridCol w:w="2122"/>
        <w:gridCol w:w="2268"/>
        <w:gridCol w:w="2255"/>
        <w:gridCol w:w="2183"/>
      </w:tblGrid>
      <w:tr w:rsidR="00E7428D" w14:paraId="621D6933" w14:textId="77777777" w:rsidTr="00EB235C">
        <w:trPr>
          <w:tblHeader/>
        </w:trPr>
        <w:tc>
          <w:tcPr>
            <w:tcW w:w="2122" w:type="dxa"/>
            <w:shd w:val="clear" w:color="auto" w:fill="44546A" w:themeFill="text2"/>
          </w:tcPr>
          <w:p w14:paraId="58FFBEE9" w14:textId="77777777" w:rsidR="00E7428D" w:rsidRPr="00E7428D" w:rsidRDefault="00E7428D" w:rsidP="00387D65">
            <w:pPr>
              <w:ind w:right="22"/>
              <w:contextualSpacing/>
              <w:jc w:val="center"/>
              <w:rPr>
                <w:rFonts w:ascii="Arial" w:hAnsi="Arial" w:cs="Arial"/>
                <w:b/>
                <w:color w:val="FFFFFF" w:themeColor="background1"/>
                <w:sz w:val="20"/>
                <w:szCs w:val="20"/>
              </w:rPr>
            </w:pPr>
            <w:r w:rsidRPr="00E7428D">
              <w:rPr>
                <w:rFonts w:ascii="Arial" w:hAnsi="Arial" w:cs="Arial"/>
                <w:b/>
                <w:color w:val="FFFFFF" w:themeColor="background1"/>
                <w:sz w:val="20"/>
                <w:szCs w:val="20"/>
              </w:rPr>
              <w:t>Número del Informe</w:t>
            </w:r>
          </w:p>
        </w:tc>
        <w:tc>
          <w:tcPr>
            <w:tcW w:w="2268" w:type="dxa"/>
            <w:shd w:val="clear" w:color="auto" w:fill="44546A" w:themeFill="text2"/>
          </w:tcPr>
          <w:p w14:paraId="664BDF9C" w14:textId="77777777" w:rsidR="00E7428D" w:rsidRPr="00E7428D" w:rsidRDefault="00E7428D" w:rsidP="00387D65">
            <w:pPr>
              <w:ind w:right="22"/>
              <w:contextualSpacing/>
              <w:jc w:val="center"/>
              <w:rPr>
                <w:rFonts w:ascii="Arial" w:hAnsi="Arial" w:cs="Arial"/>
                <w:b/>
                <w:color w:val="FFFFFF" w:themeColor="background1"/>
                <w:sz w:val="20"/>
                <w:szCs w:val="20"/>
              </w:rPr>
            </w:pPr>
            <w:r w:rsidRPr="00E7428D">
              <w:rPr>
                <w:rFonts w:ascii="Arial" w:hAnsi="Arial" w:cs="Arial"/>
                <w:b/>
                <w:color w:val="FFFFFF" w:themeColor="background1"/>
                <w:sz w:val="20"/>
                <w:szCs w:val="20"/>
              </w:rPr>
              <w:t>Recomendaciones cumplidas</w:t>
            </w:r>
          </w:p>
        </w:tc>
        <w:tc>
          <w:tcPr>
            <w:tcW w:w="2255" w:type="dxa"/>
            <w:shd w:val="clear" w:color="auto" w:fill="44546A" w:themeFill="text2"/>
          </w:tcPr>
          <w:p w14:paraId="07CE6441" w14:textId="77777777" w:rsidR="00E7428D" w:rsidRPr="00E7428D" w:rsidRDefault="00E7428D" w:rsidP="00387D65">
            <w:pPr>
              <w:ind w:right="22"/>
              <w:contextualSpacing/>
              <w:jc w:val="center"/>
              <w:rPr>
                <w:rFonts w:ascii="Arial" w:hAnsi="Arial" w:cs="Arial"/>
                <w:b/>
                <w:color w:val="FFFFFF" w:themeColor="background1"/>
                <w:sz w:val="20"/>
                <w:szCs w:val="20"/>
              </w:rPr>
            </w:pPr>
            <w:r w:rsidRPr="00E7428D">
              <w:rPr>
                <w:rFonts w:ascii="Arial" w:hAnsi="Arial" w:cs="Arial"/>
                <w:b/>
                <w:color w:val="FFFFFF" w:themeColor="background1"/>
                <w:sz w:val="20"/>
                <w:szCs w:val="20"/>
              </w:rPr>
              <w:t>Recomendaciones pendientes</w:t>
            </w:r>
          </w:p>
        </w:tc>
        <w:tc>
          <w:tcPr>
            <w:tcW w:w="2183" w:type="dxa"/>
            <w:shd w:val="clear" w:color="auto" w:fill="44546A" w:themeFill="text2"/>
          </w:tcPr>
          <w:p w14:paraId="13E8B967" w14:textId="77777777" w:rsidR="00E7428D" w:rsidRPr="00E7428D" w:rsidRDefault="00E7428D" w:rsidP="00387D65">
            <w:pPr>
              <w:ind w:right="22"/>
              <w:contextualSpacing/>
              <w:jc w:val="center"/>
              <w:rPr>
                <w:rFonts w:ascii="Arial" w:hAnsi="Arial" w:cs="Arial"/>
                <w:b/>
                <w:color w:val="FFFFFF" w:themeColor="background1"/>
                <w:sz w:val="20"/>
                <w:szCs w:val="20"/>
              </w:rPr>
            </w:pPr>
            <w:r w:rsidRPr="00E7428D">
              <w:rPr>
                <w:rFonts w:ascii="Arial" w:hAnsi="Arial" w:cs="Arial"/>
                <w:b/>
                <w:color w:val="FFFFFF" w:themeColor="background1"/>
                <w:sz w:val="20"/>
                <w:szCs w:val="20"/>
              </w:rPr>
              <w:t>Recomendaciones</w:t>
            </w:r>
            <w:r w:rsidR="008C7854">
              <w:rPr>
                <w:rFonts w:ascii="Arial" w:hAnsi="Arial" w:cs="Arial"/>
                <w:b/>
                <w:color w:val="FFFFFF" w:themeColor="background1"/>
                <w:sz w:val="20"/>
                <w:szCs w:val="20"/>
              </w:rPr>
              <w:t xml:space="preserve"> dejadas</w:t>
            </w:r>
            <w:r w:rsidRPr="00E7428D">
              <w:rPr>
                <w:rFonts w:ascii="Arial" w:hAnsi="Arial" w:cs="Arial"/>
                <w:b/>
                <w:color w:val="FFFFFF" w:themeColor="background1"/>
                <w:sz w:val="20"/>
                <w:szCs w:val="20"/>
              </w:rPr>
              <w:t xml:space="preserve"> </w:t>
            </w:r>
            <w:r w:rsidR="008C7854">
              <w:rPr>
                <w:rFonts w:ascii="Arial" w:hAnsi="Arial" w:cs="Arial"/>
                <w:b/>
                <w:color w:val="FFFFFF" w:themeColor="background1"/>
                <w:sz w:val="20"/>
                <w:szCs w:val="20"/>
              </w:rPr>
              <w:t>s</w:t>
            </w:r>
            <w:r w:rsidRPr="00E7428D">
              <w:rPr>
                <w:rFonts w:ascii="Arial" w:hAnsi="Arial" w:cs="Arial"/>
                <w:b/>
                <w:color w:val="FFFFFF" w:themeColor="background1"/>
                <w:sz w:val="20"/>
                <w:szCs w:val="20"/>
              </w:rPr>
              <w:t>in efecto</w:t>
            </w:r>
          </w:p>
        </w:tc>
      </w:tr>
      <w:tr w:rsidR="00E7428D" w14:paraId="75FEDF65" w14:textId="77777777" w:rsidTr="00E7428D">
        <w:tc>
          <w:tcPr>
            <w:tcW w:w="2122" w:type="dxa"/>
          </w:tcPr>
          <w:p w14:paraId="1D59BFFE" w14:textId="77777777" w:rsidR="00E7428D" w:rsidRPr="00E7428D" w:rsidRDefault="00E7428D" w:rsidP="00387D65">
            <w:pPr>
              <w:ind w:right="22"/>
              <w:contextualSpacing/>
              <w:jc w:val="both"/>
              <w:rPr>
                <w:rFonts w:ascii="Arial" w:hAnsi="Arial" w:cs="Arial"/>
                <w:sz w:val="20"/>
                <w:szCs w:val="20"/>
              </w:rPr>
            </w:pPr>
            <w:r w:rsidRPr="00E7428D">
              <w:rPr>
                <w:rFonts w:ascii="Arial" w:hAnsi="Arial" w:cs="Arial"/>
                <w:sz w:val="20"/>
                <w:szCs w:val="20"/>
              </w:rPr>
              <w:t>INF-DGAI-024-2012</w:t>
            </w:r>
          </w:p>
        </w:tc>
        <w:tc>
          <w:tcPr>
            <w:tcW w:w="2268" w:type="dxa"/>
          </w:tcPr>
          <w:p w14:paraId="17272D6C" w14:textId="77777777" w:rsidR="00E7428D" w:rsidRPr="00E7428D" w:rsidRDefault="002005F6" w:rsidP="00387D65">
            <w:pPr>
              <w:ind w:right="22"/>
              <w:contextualSpacing/>
              <w:jc w:val="center"/>
              <w:rPr>
                <w:rFonts w:ascii="Arial" w:hAnsi="Arial" w:cs="Arial"/>
                <w:sz w:val="20"/>
                <w:szCs w:val="20"/>
              </w:rPr>
            </w:pPr>
            <w:r>
              <w:rPr>
                <w:rFonts w:ascii="Arial" w:hAnsi="Arial" w:cs="Arial"/>
                <w:sz w:val="20"/>
                <w:szCs w:val="20"/>
              </w:rPr>
              <w:t>4.3, 4.4</w:t>
            </w:r>
          </w:p>
        </w:tc>
        <w:tc>
          <w:tcPr>
            <w:tcW w:w="2255" w:type="dxa"/>
          </w:tcPr>
          <w:p w14:paraId="550639E9" w14:textId="77777777" w:rsidR="00E7428D" w:rsidRPr="00E7428D" w:rsidRDefault="00E7428D" w:rsidP="00387D65">
            <w:pPr>
              <w:ind w:right="22"/>
              <w:contextualSpacing/>
              <w:jc w:val="center"/>
              <w:rPr>
                <w:rFonts w:ascii="Arial" w:hAnsi="Arial" w:cs="Arial"/>
                <w:sz w:val="20"/>
                <w:szCs w:val="20"/>
              </w:rPr>
            </w:pPr>
          </w:p>
        </w:tc>
        <w:tc>
          <w:tcPr>
            <w:tcW w:w="2183" w:type="dxa"/>
          </w:tcPr>
          <w:p w14:paraId="6AE889E4" w14:textId="77777777" w:rsidR="00E7428D" w:rsidRPr="00E7428D" w:rsidRDefault="002005F6" w:rsidP="00387D65">
            <w:pPr>
              <w:ind w:right="22"/>
              <w:contextualSpacing/>
              <w:jc w:val="center"/>
              <w:rPr>
                <w:rFonts w:ascii="Arial" w:hAnsi="Arial" w:cs="Arial"/>
                <w:sz w:val="20"/>
                <w:szCs w:val="20"/>
              </w:rPr>
            </w:pPr>
            <w:r>
              <w:rPr>
                <w:rFonts w:ascii="Arial" w:hAnsi="Arial" w:cs="Arial"/>
                <w:sz w:val="20"/>
                <w:szCs w:val="20"/>
              </w:rPr>
              <w:t>4.1, 4.2</w:t>
            </w:r>
          </w:p>
        </w:tc>
      </w:tr>
      <w:tr w:rsidR="00E7428D" w14:paraId="41552EC1" w14:textId="77777777" w:rsidTr="00E7428D">
        <w:tc>
          <w:tcPr>
            <w:tcW w:w="2122" w:type="dxa"/>
          </w:tcPr>
          <w:p w14:paraId="4DCD115D" w14:textId="77777777" w:rsidR="00E7428D" w:rsidRPr="00E7428D" w:rsidRDefault="002005F6" w:rsidP="00387D65">
            <w:pPr>
              <w:ind w:right="22"/>
              <w:contextualSpacing/>
              <w:jc w:val="both"/>
              <w:rPr>
                <w:rFonts w:ascii="Arial" w:hAnsi="Arial" w:cs="Arial"/>
                <w:sz w:val="20"/>
                <w:szCs w:val="20"/>
              </w:rPr>
            </w:pPr>
            <w:r>
              <w:rPr>
                <w:rFonts w:ascii="Arial" w:hAnsi="Arial" w:cs="Arial"/>
                <w:sz w:val="20"/>
                <w:szCs w:val="20"/>
              </w:rPr>
              <w:t>DGAI-INF-024-2016</w:t>
            </w:r>
          </w:p>
        </w:tc>
        <w:tc>
          <w:tcPr>
            <w:tcW w:w="2268" w:type="dxa"/>
          </w:tcPr>
          <w:p w14:paraId="4F1FF75F"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4.5</w:t>
            </w:r>
          </w:p>
        </w:tc>
        <w:tc>
          <w:tcPr>
            <w:tcW w:w="2255" w:type="dxa"/>
          </w:tcPr>
          <w:p w14:paraId="1861E882" w14:textId="77777777" w:rsidR="00E7428D" w:rsidRPr="00E7428D" w:rsidRDefault="00E7428D" w:rsidP="00387D65">
            <w:pPr>
              <w:ind w:right="22"/>
              <w:contextualSpacing/>
              <w:jc w:val="center"/>
              <w:rPr>
                <w:rFonts w:ascii="Arial" w:hAnsi="Arial" w:cs="Arial"/>
                <w:sz w:val="20"/>
                <w:szCs w:val="20"/>
              </w:rPr>
            </w:pPr>
          </w:p>
        </w:tc>
        <w:tc>
          <w:tcPr>
            <w:tcW w:w="2183" w:type="dxa"/>
          </w:tcPr>
          <w:p w14:paraId="7F217367" w14:textId="77777777" w:rsidR="00E7428D" w:rsidRPr="00E7428D" w:rsidRDefault="00E7428D" w:rsidP="00387D65">
            <w:pPr>
              <w:ind w:right="22"/>
              <w:contextualSpacing/>
              <w:jc w:val="center"/>
              <w:rPr>
                <w:rFonts w:ascii="Arial" w:hAnsi="Arial" w:cs="Arial"/>
                <w:sz w:val="20"/>
                <w:szCs w:val="20"/>
              </w:rPr>
            </w:pPr>
          </w:p>
        </w:tc>
      </w:tr>
      <w:tr w:rsidR="00E7428D" w14:paraId="244B5B8D" w14:textId="77777777" w:rsidTr="00E7428D">
        <w:tc>
          <w:tcPr>
            <w:tcW w:w="2122" w:type="dxa"/>
          </w:tcPr>
          <w:p w14:paraId="7BEF7129" w14:textId="77777777" w:rsidR="00E7428D" w:rsidRPr="00E7428D" w:rsidRDefault="002005F6" w:rsidP="00387D65">
            <w:pPr>
              <w:ind w:right="22"/>
              <w:contextualSpacing/>
              <w:jc w:val="both"/>
              <w:rPr>
                <w:rFonts w:ascii="Arial" w:hAnsi="Arial" w:cs="Arial"/>
                <w:sz w:val="20"/>
                <w:szCs w:val="20"/>
              </w:rPr>
            </w:pPr>
            <w:r>
              <w:rPr>
                <w:rFonts w:ascii="Arial" w:hAnsi="Arial" w:cs="Arial"/>
                <w:sz w:val="20"/>
                <w:szCs w:val="20"/>
              </w:rPr>
              <w:t>DGAI-INF-002-2017</w:t>
            </w:r>
          </w:p>
        </w:tc>
        <w:tc>
          <w:tcPr>
            <w:tcW w:w="2268" w:type="dxa"/>
          </w:tcPr>
          <w:p w14:paraId="2BD523F0"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3.3</w:t>
            </w:r>
          </w:p>
        </w:tc>
        <w:tc>
          <w:tcPr>
            <w:tcW w:w="2255" w:type="dxa"/>
          </w:tcPr>
          <w:p w14:paraId="2AD07359"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3.1, 3.2, 3.4, 3.5, 3.6, 3.7, 3.8</w:t>
            </w:r>
            <w:r w:rsidR="00601B9A">
              <w:rPr>
                <w:rFonts w:ascii="Arial" w:hAnsi="Arial" w:cs="Arial"/>
                <w:sz w:val="20"/>
                <w:szCs w:val="20"/>
              </w:rPr>
              <w:t>, 3.10</w:t>
            </w:r>
          </w:p>
        </w:tc>
        <w:tc>
          <w:tcPr>
            <w:tcW w:w="2183" w:type="dxa"/>
          </w:tcPr>
          <w:p w14:paraId="19E5E9E9" w14:textId="77777777" w:rsidR="00E7428D" w:rsidRPr="00E7428D" w:rsidRDefault="00E7428D" w:rsidP="00387D65">
            <w:pPr>
              <w:ind w:right="22"/>
              <w:contextualSpacing/>
              <w:jc w:val="center"/>
              <w:rPr>
                <w:rFonts w:ascii="Arial" w:hAnsi="Arial" w:cs="Arial"/>
                <w:sz w:val="20"/>
                <w:szCs w:val="20"/>
              </w:rPr>
            </w:pPr>
          </w:p>
        </w:tc>
      </w:tr>
      <w:tr w:rsidR="00E7428D" w14:paraId="5AE59119" w14:textId="77777777" w:rsidTr="00E7428D">
        <w:tc>
          <w:tcPr>
            <w:tcW w:w="2122" w:type="dxa"/>
          </w:tcPr>
          <w:p w14:paraId="7A03E3C5" w14:textId="77777777" w:rsidR="00E7428D" w:rsidRPr="00E7428D" w:rsidRDefault="002005F6" w:rsidP="00387D65">
            <w:pPr>
              <w:ind w:right="22"/>
              <w:contextualSpacing/>
              <w:jc w:val="both"/>
              <w:rPr>
                <w:rFonts w:ascii="Arial" w:hAnsi="Arial" w:cs="Arial"/>
                <w:sz w:val="20"/>
                <w:szCs w:val="20"/>
              </w:rPr>
            </w:pPr>
            <w:r>
              <w:rPr>
                <w:rFonts w:ascii="Arial" w:hAnsi="Arial" w:cs="Arial"/>
                <w:sz w:val="20"/>
                <w:szCs w:val="20"/>
              </w:rPr>
              <w:t>AI-INF-007-2017</w:t>
            </w:r>
          </w:p>
        </w:tc>
        <w:tc>
          <w:tcPr>
            <w:tcW w:w="2268" w:type="dxa"/>
          </w:tcPr>
          <w:p w14:paraId="0245FB93"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4.1, 4.2, 4.3, 4.5</w:t>
            </w:r>
          </w:p>
        </w:tc>
        <w:tc>
          <w:tcPr>
            <w:tcW w:w="2255" w:type="dxa"/>
          </w:tcPr>
          <w:p w14:paraId="51D0E562" w14:textId="77777777" w:rsidR="00E7428D" w:rsidRPr="00E7428D" w:rsidRDefault="00E7428D" w:rsidP="00387D65">
            <w:pPr>
              <w:ind w:right="22"/>
              <w:contextualSpacing/>
              <w:jc w:val="center"/>
              <w:rPr>
                <w:rFonts w:ascii="Arial" w:hAnsi="Arial" w:cs="Arial"/>
                <w:sz w:val="20"/>
                <w:szCs w:val="20"/>
              </w:rPr>
            </w:pPr>
          </w:p>
        </w:tc>
        <w:tc>
          <w:tcPr>
            <w:tcW w:w="2183" w:type="dxa"/>
          </w:tcPr>
          <w:p w14:paraId="55FCB62C"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4.4</w:t>
            </w:r>
          </w:p>
        </w:tc>
      </w:tr>
      <w:tr w:rsidR="00E7428D" w14:paraId="3CB860A0" w14:textId="77777777" w:rsidTr="00E7428D">
        <w:tc>
          <w:tcPr>
            <w:tcW w:w="2122" w:type="dxa"/>
          </w:tcPr>
          <w:p w14:paraId="33FC4120" w14:textId="77777777" w:rsidR="00E7428D" w:rsidRPr="00E7428D" w:rsidRDefault="002005F6" w:rsidP="00387D65">
            <w:pPr>
              <w:ind w:right="22"/>
              <w:contextualSpacing/>
              <w:jc w:val="both"/>
              <w:rPr>
                <w:rFonts w:ascii="Arial" w:hAnsi="Arial" w:cs="Arial"/>
                <w:sz w:val="20"/>
                <w:szCs w:val="20"/>
              </w:rPr>
            </w:pPr>
            <w:r>
              <w:rPr>
                <w:rFonts w:ascii="Arial" w:hAnsi="Arial" w:cs="Arial"/>
                <w:sz w:val="20"/>
                <w:szCs w:val="20"/>
              </w:rPr>
              <w:t>AI-INF-024-2017</w:t>
            </w:r>
          </w:p>
        </w:tc>
        <w:tc>
          <w:tcPr>
            <w:tcW w:w="2268" w:type="dxa"/>
          </w:tcPr>
          <w:p w14:paraId="6F5B48AE"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4.2, 4.3, 4.4, 4.5, 4.6</w:t>
            </w:r>
          </w:p>
        </w:tc>
        <w:tc>
          <w:tcPr>
            <w:tcW w:w="2255" w:type="dxa"/>
          </w:tcPr>
          <w:p w14:paraId="1C00362C" w14:textId="77777777" w:rsidR="00E7428D" w:rsidRPr="00E7428D" w:rsidRDefault="00E7428D" w:rsidP="00387D65">
            <w:pPr>
              <w:ind w:right="22"/>
              <w:contextualSpacing/>
              <w:jc w:val="center"/>
              <w:rPr>
                <w:rFonts w:ascii="Arial" w:hAnsi="Arial" w:cs="Arial"/>
                <w:sz w:val="20"/>
                <w:szCs w:val="20"/>
              </w:rPr>
            </w:pPr>
          </w:p>
        </w:tc>
        <w:tc>
          <w:tcPr>
            <w:tcW w:w="2183" w:type="dxa"/>
          </w:tcPr>
          <w:p w14:paraId="4F2AEC4F" w14:textId="77777777" w:rsidR="00E7428D" w:rsidRPr="00E7428D" w:rsidRDefault="008D6788" w:rsidP="00387D65">
            <w:pPr>
              <w:ind w:right="22"/>
              <w:contextualSpacing/>
              <w:jc w:val="center"/>
              <w:rPr>
                <w:rFonts w:ascii="Arial" w:hAnsi="Arial" w:cs="Arial"/>
                <w:sz w:val="20"/>
                <w:szCs w:val="20"/>
              </w:rPr>
            </w:pPr>
            <w:r>
              <w:rPr>
                <w:rFonts w:ascii="Arial" w:hAnsi="Arial" w:cs="Arial"/>
                <w:sz w:val="20"/>
                <w:szCs w:val="20"/>
              </w:rPr>
              <w:t>4.1</w:t>
            </w:r>
          </w:p>
        </w:tc>
      </w:tr>
      <w:tr w:rsidR="00E7428D" w14:paraId="5C163AA3" w14:textId="77777777" w:rsidTr="00E7428D">
        <w:tc>
          <w:tcPr>
            <w:tcW w:w="2122" w:type="dxa"/>
          </w:tcPr>
          <w:p w14:paraId="085FB05F" w14:textId="77777777" w:rsidR="00E7428D" w:rsidRPr="00E7428D" w:rsidRDefault="008D6788" w:rsidP="00387D65">
            <w:pPr>
              <w:ind w:right="22"/>
              <w:contextualSpacing/>
              <w:jc w:val="both"/>
              <w:rPr>
                <w:rFonts w:ascii="Arial" w:hAnsi="Arial" w:cs="Arial"/>
                <w:sz w:val="20"/>
                <w:szCs w:val="20"/>
              </w:rPr>
            </w:pPr>
            <w:r>
              <w:rPr>
                <w:rFonts w:ascii="Arial" w:hAnsi="Arial" w:cs="Arial"/>
                <w:sz w:val="20"/>
                <w:szCs w:val="20"/>
              </w:rPr>
              <w:t>AI-INF-025-2017</w:t>
            </w:r>
          </w:p>
        </w:tc>
        <w:tc>
          <w:tcPr>
            <w:tcW w:w="2268" w:type="dxa"/>
          </w:tcPr>
          <w:p w14:paraId="59FDE29C" w14:textId="77777777" w:rsidR="00E7428D" w:rsidRPr="00E7428D" w:rsidRDefault="004C2CAB" w:rsidP="00387D65">
            <w:pPr>
              <w:ind w:right="22"/>
              <w:contextualSpacing/>
              <w:jc w:val="center"/>
              <w:rPr>
                <w:rFonts w:ascii="Arial" w:hAnsi="Arial" w:cs="Arial"/>
                <w:sz w:val="20"/>
                <w:szCs w:val="20"/>
              </w:rPr>
            </w:pPr>
            <w:r>
              <w:rPr>
                <w:rFonts w:ascii="Arial" w:hAnsi="Arial" w:cs="Arial"/>
                <w:sz w:val="20"/>
                <w:szCs w:val="20"/>
              </w:rPr>
              <w:t xml:space="preserve">4.1, 4.4, 4.5,4.9, 4.13, </w:t>
            </w:r>
          </w:p>
        </w:tc>
        <w:tc>
          <w:tcPr>
            <w:tcW w:w="2255" w:type="dxa"/>
          </w:tcPr>
          <w:p w14:paraId="7BEB5A0D" w14:textId="77777777" w:rsidR="00E7428D" w:rsidRPr="00E7428D" w:rsidRDefault="004C2CAB" w:rsidP="00387D65">
            <w:pPr>
              <w:ind w:right="22"/>
              <w:contextualSpacing/>
              <w:jc w:val="center"/>
              <w:rPr>
                <w:rFonts w:ascii="Arial" w:hAnsi="Arial" w:cs="Arial"/>
                <w:sz w:val="20"/>
                <w:szCs w:val="20"/>
              </w:rPr>
            </w:pPr>
            <w:r>
              <w:rPr>
                <w:rFonts w:ascii="Arial" w:hAnsi="Arial" w:cs="Arial"/>
                <w:sz w:val="20"/>
                <w:szCs w:val="20"/>
              </w:rPr>
              <w:t>4.3, 4.6, 4.7, 4.8, 4.10, 4.11, 4.12, 4.14</w:t>
            </w:r>
          </w:p>
        </w:tc>
        <w:tc>
          <w:tcPr>
            <w:tcW w:w="2183" w:type="dxa"/>
          </w:tcPr>
          <w:p w14:paraId="0EEAADB2" w14:textId="77777777" w:rsidR="00E7428D" w:rsidRPr="00E7428D" w:rsidRDefault="00E7428D" w:rsidP="00387D65">
            <w:pPr>
              <w:ind w:right="22"/>
              <w:contextualSpacing/>
              <w:jc w:val="center"/>
              <w:rPr>
                <w:rFonts w:ascii="Arial" w:hAnsi="Arial" w:cs="Arial"/>
                <w:sz w:val="20"/>
                <w:szCs w:val="20"/>
              </w:rPr>
            </w:pPr>
          </w:p>
        </w:tc>
      </w:tr>
      <w:tr w:rsidR="00E7428D" w14:paraId="125A8577" w14:textId="77777777" w:rsidTr="00E7428D">
        <w:tc>
          <w:tcPr>
            <w:tcW w:w="2122" w:type="dxa"/>
          </w:tcPr>
          <w:p w14:paraId="5BD46929" w14:textId="77777777" w:rsidR="00E7428D" w:rsidRPr="00E7428D" w:rsidRDefault="008D6788" w:rsidP="00387D65">
            <w:pPr>
              <w:ind w:right="22"/>
              <w:contextualSpacing/>
              <w:jc w:val="both"/>
              <w:rPr>
                <w:rFonts w:ascii="Arial" w:hAnsi="Arial" w:cs="Arial"/>
                <w:sz w:val="20"/>
                <w:szCs w:val="20"/>
              </w:rPr>
            </w:pPr>
            <w:r>
              <w:rPr>
                <w:rFonts w:ascii="Arial" w:hAnsi="Arial" w:cs="Arial"/>
                <w:sz w:val="20"/>
                <w:szCs w:val="20"/>
              </w:rPr>
              <w:t>AI-INF-027-2017</w:t>
            </w:r>
          </w:p>
        </w:tc>
        <w:tc>
          <w:tcPr>
            <w:tcW w:w="2268" w:type="dxa"/>
          </w:tcPr>
          <w:p w14:paraId="7ED343F3" w14:textId="77777777" w:rsidR="00E7428D" w:rsidRPr="00E7428D" w:rsidRDefault="0014036C" w:rsidP="00387D65">
            <w:pPr>
              <w:ind w:right="22"/>
              <w:contextualSpacing/>
              <w:jc w:val="center"/>
              <w:rPr>
                <w:rFonts w:ascii="Arial" w:hAnsi="Arial" w:cs="Arial"/>
                <w:sz w:val="20"/>
                <w:szCs w:val="20"/>
              </w:rPr>
            </w:pPr>
            <w:r>
              <w:rPr>
                <w:rFonts w:ascii="Arial" w:hAnsi="Arial" w:cs="Arial"/>
                <w:sz w:val="20"/>
                <w:szCs w:val="20"/>
              </w:rPr>
              <w:t>3.3</w:t>
            </w:r>
          </w:p>
        </w:tc>
        <w:tc>
          <w:tcPr>
            <w:tcW w:w="2255" w:type="dxa"/>
          </w:tcPr>
          <w:p w14:paraId="09E2BD5D" w14:textId="77777777" w:rsidR="00E7428D" w:rsidRPr="00E7428D" w:rsidRDefault="00601B9A" w:rsidP="00387D65">
            <w:pPr>
              <w:ind w:right="22"/>
              <w:contextualSpacing/>
              <w:jc w:val="center"/>
              <w:rPr>
                <w:rFonts w:ascii="Arial" w:hAnsi="Arial" w:cs="Arial"/>
                <w:sz w:val="20"/>
                <w:szCs w:val="20"/>
              </w:rPr>
            </w:pPr>
            <w:r>
              <w:rPr>
                <w:rFonts w:ascii="Arial" w:hAnsi="Arial" w:cs="Arial"/>
                <w:sz w:val="20"/>
                <w:szCs w:val="20"/>
              </w:rPr>
              <w:t>3.2</w:t>
            </w:r>
          </w:p>
        </w:tc>
        <w:tc>
          <w:tcPr>
            <w:tcW w:w="2183" w:type="dxa"/>
          </w:tcPr>
          <w:p w14:paraId="5A874478" w14:textId="77777777" w:rsidR="00E7428D" w:rsidRPr="00E7428D" w:rsidRDefault="00E7428D" w:rsidP="00387D65">
            <w:pPr>
              <w:ind w:right="22"/>
              <w:contextualSpacing/>
              <w:jc w:val="center"/>
              <w:rPr>
                <w:rFonts w:ascii="Arial" w:hAnsi="Arial" w:cs="Arial"/>
                <w:sz w:val="20"/>
                <w:szCs w:val="20"/>
              </w:rPr>
            </w:pPr>
          </w:p>
        </w:tc>
      </w:tr>
      <w:tr w:rsidR="008D6788" w14:paraId="7363BA98" w14:textId="77777777" w:rsidTr="00E7428D">
        <w:tc>
          <w:tcPr>
            <w:tcW w:w="2122" w:type="dxa"/>
          </w:tcPr>
          <w:p w14:paraId="35BEDFDA" w14:textId="77777777" w:rsidR="008D6788" w:rsidRDefault="008D6788" w:rsidP="00387D65">
            <w:pPr>
              <w:ind w:right="22"/>
              <w:contextualSpacing/>
              <w:jc w:val="both"/>
              <w:rPr>
                <w:rFonts w:ascii="Arial" w:hAnsi="Arial" w:cs="Arial"/>
                <w:sz w:val="20"/>
                <w:szCs w:val="20"/>
              </w:rPr>
            </w:pPr>
            <w:r>
              <w:rPr>
                <w:rFonts w:ascii="Arial" w:hAnsi="Arial" w:cs="Arial"/>
                <w:sz w:val="20"/>
                <w:szCs w:val="20"/>
              </w:rPr>
              <w:t>AI-INF-010-2018</w:t>
            </w:r>
          </w:p>
        </w:tc>
        <w:tc>
          <w:tcPr>
            <w:tcW w:w="2268" w:type="dxa"/>
          </w:tcPr>
          <w:p w14:paraId="769E7BD1" w14:textId="77777777" w:rsidR="008D6788" w:rsidRPr="00E7428D" w:rsidRDefault="00601B9A" w:rsidP="00387D65">
            <w:pPr>
              <w:ind w:right="22"/>
              <w:contextualSpacing/>
              <w:jc w:val="center"/>
              <w:rPr>
                <w:rFonts w:ascii="Arial" w:hAnsi="Arial" w:cs="Arial"/>
                <w:sz w:val="20"/>
                <w:szCs w:val="20"/>
              </w:rPr>
            </w:pPr>
            <w:r>
              <w:rPr>
                <w:rFonts w:ascii="Arial" w:hAnsi="Arial" w:cs="Arial"/>
                <w:sz w:val="20"/>
                <w:szCs w:val="20"/>
              </w:rPr>
              <w:t>3.2</w:t>
            </w:r>
          </w:p>
        </w:tc>
        <w:tc>
          <w:tcPr>
            <w:tcW w:w="2255" w:type="dxa"/>
          </w:tcPr>
          <w:p w14:paraId="39010806" w14:textId="77777777" w:rsidR="008D6788" w:rsidRPr="00E7428D" w:rsidRDefault="008D6788" w:rsidP="00387D65">
            <w:pPr>
              <w:ind w:right="22"/>
              <w:contextualSpacing/>
              <w:jc w:val="center"/>
              <w:rPr>
                <w:rFonts w:ascii="Arial" w:hAnsi="Arial" w:cs="Arial"/>
                <w:sz w:val="20"/>
                <w:szCs w:val="20"/>
              </w:rPr>
            </w:pPr>
          </w:p>
        </w:tc>
        <w:tc>
          <w:tcPr>
            <w:tcW w:w="2183" w:type="dxa"/>
          </w:tcPr>
          <w:p w14:paraId="779D94D6" w14:textId="77777777" w:rsidR="008D6788" w:rsidRPr="00E7428D" w:rsidRDefault="00601B9A" w:rsidP="00387D65">
            <w:pPr>
              <w:ind w:right="22"/>
              <w:contextualSpacing/>
              <w:jc w:val="center"/>
              <w:rPr>
                <w:rFonts w:ascii="Arial" w:hAnsi="Arial" w:cs="Arial"/>
                <w:sz w:val="20"/>
                <w:szCs w:val="20"/>
              </w:rPr>
            </w:pPr>
            <w:r>
              <w:rPr>
                <w:rFonts w:ascii="Arial" w:hAnsi="Arial" w:cs="Arial"/>
                <w:sz w:val="20"/>
                <w:szCs w:val="20"/>
              </w:rPr>
              <w:t>3.1</w:t>
            </w:r>
          </w:p>
        </w:tc>
      </w:tr>
      <w:tr w:rsidR="008D6788" w14:paraId="35235836" w14:textId="77777777" w:rsidTr="00A3234A">
        <w:tc>
          <w:tcPr>
            <w:tcW w:w="2122" w:type="dxa"/>
            <w:shd w:val="clear" w:color="auto" w:fill="44546A" w:themeFill="text2"/>
          </w:tcPr>
          <w:p w14:paraId="53FA45F0" w14:textId="77777777" w:rsidR="008D6788" w:rsidRPr="00A3234A" w:rsidRDefault="00601B9A" w:rsidP="00387D65">
            <w:pPr>
              <w:ind w:right="22"/>
              <w:contextualSpacing/>
              <w:jc w:val="center"/>
              <w:rPr>
                <w:rFonts w:ascii="Arial" w:hAnsi="Arial" w:cs="Arial"/>
                <w:b/>
                <w:color w:val="FFFFFF" w:themeColor="background1"/>
                <w:sz w:val="20"/>
                <w:szCs w:val="20"/>
              </w:rPr>
            </w:pPr>
            <w:r w:rsidRPr="00A3234A">
              <w:rPr>
                <w:rFonts w:ascii="Arial" w:hAnsi="Arial" w:cs="Arial"/>
                <w:b/>
                <w:color w:val="FFFFFF" w:themeColor="background1"/>
                <w:sz w:val="20"/>
                <w:szCs w:val="20"/>
              </w:rPr>
              <w:t>TOTAL</w:t>
            </w:r>
          </w:p>
        </w:tc>
        <w:tc>
          <w:tcPr>
            <w:tcW w:w="2268" w:type="dxa"/>
            <w:shd w:val="clear" w:color="auto" w:fill="44546A" w:themeFill="text2"/>
          </w:tcPr>
          <w:p w14:paraId="4359F79B" w14:textId="77777777" w:rsidR="008D6788" w:rsidRPr="00A3234A" w:rsidRDefault="00601B9A" w:rsidP="00387D65">
            <w:pPr>
              <w:ind w:right="22"/>
              <w:contextualSpacing/>
              <w:jc w:val="center"/>
              <w:rPr>
                <w:rFonts w:ascii="Arial" w:hAnsi="Arial" w:cs="Arial"/>
                <w:b/>
                <w:color w:val="FFFFFF" w:themeColor="background1"/>
                <w:sz w:val="20"/>
                <w:szCs w:val="20"/>
              </w:rPr>
            </w:pPr>
            <w:r w:rsidRPr="00A3234A">
              <w:rPr>
                <w:rFonts w:ascii="Arial" w:hAnsi="Arial" w:cs="Arial"/>
                <w:b/>
                <w:color w:val="FFFFFF" w:themeColor="background1"/>
                <w:sz w:val="20"/>
                <w:szCs w:val="20"/>
              </w:rPr>
              <w:t>20</w:t>
            </w:r>
          </w:p>
        </w:tc>
        <w:tc>
          <w:tcPr>
            <w:tcW w:w="2255" w:type="dxa"/>
            <w:shd w:val="clear" w:color="auto" w:fill="44546A" w:themeFill="text2"/>
          </w:tcPr>
          <w:p w14:paraId="6D7CD2F7" w14:textId="77777777" w:rsidR="008D6788" w:rsidRPr="00A3234A" w:rsidRDefault="00601B9A" w:rsidP="00387D65">
            <w:pPr>
              <w:ind w:right="22"/>
              <w:contextualSpacing/>
              <w:jc w:val="center"/>
              <w:rPr>
                <w:rFonts w:ascii="Arial" w:hAnsi="Arial" w:cs="Arial"/>
                <w:b/>
                <w:color w:val="FFFFFF" w:themeColor="background1"/>
                <w:sz w:val="20"/>
                <w:szCs w:val="20"/>
              </w:rPr>
            </w:pPr>
            <w:r w:rsidRPr="00A3234A">
              <w:rPr>
                <w:rFonts w:ascii="Arial" w:hAnsi="Arial" w:cs="Arial"/>
                <w:b/>
                <w:color w:val="FFFFFF" w:themeColor="background1"/>
                <w:sz w:val="20"/>
                <w:szCs w:val="20"/>
              </w:rPr>
              <w:t>17</w:t>
            </w:r>
          </w:p>
        </w:tc>
        <w:tc>
          <w:tcPr>
            <w:tcW w:w="2183" w:type="dxa"/>
            <w:shd w:val="clear" w:color="auto" w:fill="44546A" w:themeFill="text2"/>
          </w:tcPr>
          <w:p w14:paraId="68B64FE1" w14:textId="77777777" w:rsidR="008D6788" w:rsidRPr="00A3234A" w:rsidRDefault="00601B9A" w:rsidP="00387D65">
            <w:pPr>
              <w:ind w:right="22"/>
              <w:contextualSpacing/>
              <w:jc w:val="center"/>
              <w:rPr>
                <w:rFonts w:ascii="Arial" w:hAnsi="Arial" w:cs="Arial"/>
                <w:b/>
                <w:color w:val="FFFFFF" w:themeColor="background1"/>
                <w:sz w:val="20"/>
                <w:szCs w:val="20"/>
              </w:rPr>
            </w:pPr>
            <w:r w:rsidRPr="00A3234A">
              <w:rPr>
                <w:rFonts w:ascii="Arial" w:hAnsi="Arial" w:cs="Arial"/>
                <w:b/>
                <w:color w:val="FFFFFF" w:themeColor="background1"/>
                <w:sz w:val="20"/>
                <w:szCs w:val="20"/>
              </w:rPr>
              <w:t>5</w:t>
            </w:r>
          </w:p>
        </w:tc>
      </w:tr>
    </w:tbl>
    <w:p w14:paraId="27FBD18E" w14:textId="77777777" w:rsidR="00546DBD" w:rsidRPr="00EB235C" w:rsidRDefault="00601B9A" w:rsidP="00387D65">
      <w:pPr>
        <w:spacing w:after="0" w:line="240" w:lineRule="auto"/>
        <w:ind w:right="22"/>
        <w:contextualSpacing/>
        <w:jc w:val="both"/>
        <w:rPr>
          <w:rFonts w:ascii="Arial" w:hAnsi="Arial" w:cs="Arial"/>
          <w:sz w:val="18"/>
          <w:szCs w:val="20"/>
        </w:rPr>
      </w:pPr>
      <w:r w:rsidRPr="00EB235C">
        <w:rPr>
          <w:rFonts w:ascii="Arial" w:hAnsi="Arial" w:cs="Arial"/>
          <w:b/>
          <w:sz w:val="18"/>
          <w:szCs w:val="20"/>
        </w:rPr>
        <w:t>Fuente:</w:t>
      </w:r>
      <w:r w:rsidRPr="00EB235C">
        <w:rPr>
          <w:rFonts w:ascii="Arial" w:hAnsi="Arial" w:cs="Arial"/>
          <w:sz w:val="18"/>
          <w:szCs w:val="20"/>
        </w:rPr>
        <w:t xml:space="preserve"> Elaborado </w:t>
      </w:r>
      <w:r w:rsidR="00EB235C">
        <w:rPr>
          <w:rFonts w:ascii="Arial" w:hAnsi="Arial" w:cs="Arial"/>
          <w:sz w:val="18"/>
          <w:szCs w:val="20"/>
        </w:rPr>
        <w:t>propia con información de Proceso de Seguimiento de recomendaciones de la Auditoría Interna</w:t>
      </w:r>
      <w:r w:rsidRPr="00EB235C">
        <w:rPr>
          <w:rFonts w:ascii="Arial" w:hAnsi="Arial" w:cs="Arial"/>
          <w:sz w:val="18"/>
          <w:szCs w:val="20"/>
        </w:rPr>
        <w:t>.</w:t>
      </w:r>
    </w:p>
    <w:p w14:paraId="02A3086F" w14:textId="77777777" w:rsidR="005E41CD" w:rsidRPr="0043627B" w:rsidRDefault="005E41CD" w:rsidP="005E41CD">
      <w:pPr>
        <w:spacing w:after="0" w:line="240" w:lineRule="auto"/>
        <w:jc w:val="both"/>
      </w:pPr>
      <w:bookmarkStart w:id="57" w:name="_Toc390783339"/>
    </w:p>
    <w:p w14:paraId="0DB41DCC" w14:textId="77777777" w:rsidR="0092763F" w:rsidRDefault="0092763F" w:rsidP="0092763F">
      <w:pPr>
        <w:pStyle w:val="Ttulo1"/>
        <w:keepNext w:val="0"/>
        <w:keepLines w:val="0"/>
        <w:spacing w:before="0" w:after="0"/>
        <w:ind w:left="470"/>
        <w:contextualSpacing/>
        <w:rPr>
          <w:rFonts w:ascii="Arial" w:hAnsi="Arial" w:cs="Arial"/>
          <w:b/>
          <w:bCs/>
          <w:color w:val="44546A" w:themeColor="text2"/>
          <w:kern w:val="28"/>
          <w:sz w:val="28"/>
          <w:szCs w:val="28"/>
          <w:lang w:eastAsia="es-ES"/>
        </w:rPr>
      </w:pPr>
      <w:bookmarkStart w:id="58" w:name="_Toc118798820"/>
      <w:bookmarkStart w:id="59" w:name="_Toc119920111"/>
      <w:bookmarkEnd w:id="57"/>
    </w:p>
    <w:p w14:paraId="4387479E" w14:textId="0FF38EA6" w:rsidR="00A3234A" w:rsidRPr="004571AE" w:rsidRDefault="00A3234A" w:rsidP="00387D65">
      <w:pPr>
        <w:pStyle w:val="Ttulo1"/>
        <w:keepNext w:val="0"/>
        <w:keepLines w:val="0"/>
        <w:numPr>
          <w:ilvl w:val="0"/>
          <w:numId w:val="19"/>
        </w:numPr>
        <w:spacing w:before="0" w:after="0"/>
        <w:ind w:left="470" w:hanging="470"/>
        <w:contextualSpacing/>
        <w:rPr>
          <w:rFonts w:ascii="Arial" w:hAnsi="Arial" w:cs="Arial"/>
          <w:b/>
          <w:bCs/>
          <w:color w:val="44546A" w:themeColor="text2"/>
          <w:kern w:val="28"/>
          <w:sz w:val="28"/>
          <w:szCs w:val="28"/>
          <w:lang w:eastAsia="es-ES"/>
        </w:rPr>
      </w:pPr>
      <w:r w:rsidRPr="004571AE">
        <w:rPr>
          <w:rFonts w:ascii="Arial" w:hAnsi="Arial" w:cs="Arial"/>
          <w:b/>
          <w:bCs/>
          <w:color w:val="44546A" w:themeColor="text2"/>
          <w:kern w:val="28"/>
          <w:sz w:val="28"/>
          <w:szCs w:val="28"/>
          <w:lang w:eastAsia="es-ES"/>
        </w:rPr>
        <w:t>RECOMENDACIONES</w:t>
      </w:r>
      <w:bookmarkEnd w:id="58"/>
      <w:bookmarkEnd w:id="59"/>
    </w:p>
    <w:p w14:paraId="37D34235" w14:textId="77777777" w:rsidR="0080436F" w:rsidRPr="0080436F" w:rsidRDefault="0080436F" w:rsidP="00387D65">
      <w:pPr>
        <w:spacing w:after="0" w:line="240" w:lineRule="auto"/>
      </w:pPr>
    </w:p>
    <w:p w14:paraId="3E9FB283" w14:textId="77777777" w:rsidR="0080436F" w:rsidRPr="0080436F" w:rsidRDefault="0080436F" w:rsidP="00387D65">
      <w:pPr>
        <w:spacing w:after="0" w:line="240" w:lineRule="auto"/>
        <w:ind w:right="22"/>
        <w:contextualSpacing/>
        <w:jc w:val="both"/>
        <w:rPr>
          <w:rFonts w:ascii="Arial" w:hAnsi="Arial" w:cs="Arial"/>
          <w:b/>
          <w:color w:val="1F3864" w:themeColor="accent5" w:themeShade="80"/>
          <w:sz w:val="24"/>
          <w:szCs w:val="24"/>
        </w:rPr>
      </w:pPr>
      <w:r w:rsidRPr="0080436F">
        <w:rPr>
          <w:rFonts w:ascii="Arial" w:hAnsi="Arial" w:cs="Arial"/>
          <w:b/>
          <w:color w:val="1F3864" w:themeColor="accent5" w:themeShade="80"/>
          <w:sz w:val="24"/>
          <w:szCs w:val="24"/>
        </w:rPr>
        <w:t>Al Director General de Hacienda:</w:t>
      </w:r>
    </w:p>
    <w:p w14:paraId="0F901B77" w14:textId="77777777" w:rsidR="0080436F" w:rsidRPr="004571AE" w:rsidRDefault="0080436F" w:rsidP="00387D65">
      <w:pPr>
        <w:spacing w:after="0" w:line="240" w:lineRule="auto"/>
        <w:ind w:right="22"/>
        <w:contextualSpacing/>
        <w:jc w:val="both"/>
        <w:rPr>
          <w:rFonts w:ascii="Arial" w:hAnsi="Arial" w:cs="Arial"/>
          <w:szCs w:val="24"/>
        </w:rPr>
      </w:pPr>
    </w:p>
    <w:p w14:paraId="267A6FD6" w14:textId="77777777" w:rsidR="0085163D" w:rsidRDefault="0085163D" w:rsidP="00387D65">
      <w:pPr>
        <w:pStyle w:val="Prrafodelista"/>
        <w:numPr>
          <w:ilvl w:val="1"/>
          <w:numId w:val="34"/>
        </w:numPr>
        <w:spacing w:after="0" w:line="240" w:lineRule="auto"/>
        <w:jc w:val="both"/>
        <w:rPr>
          <w:rFonts w:ascii="Arial" w:hAnsi="Arial" w:cs="Arial"/>
          <w:color w:val="000000"/>
        </w:rPr>
      </w:pPr>
      <w:r>
        <w:rPr>
          <w:rFonts w:ascii="Arial" w:hAnsi="Arial" w:cs="Arial"/>
          <w:color w:val="000000"/>
        </w:rPr>
        <w:t>Elaborar, oficializar y divulgar un procedimiento que permita asegurar el cumplimiento en tiempo de las recomendaciones y disposiciones emitidas por la Auditoría Interna y otros órganos fiscalizadores.  Ver punto 2.1. de este informe.</w:t>
      </w:r>
    </w:p>
    <w:p w14:paraId="422122C8" w14:textId="77777777" w:rsidR="0085163D" w:rsidRDefault="0085163D" w:rsidP="0085163D">
      <w:pPr>
        <w:pStyle w:val="Prrafodelista"/>
        <w:spacing w:after="0" w:line="240" w:lineRule="auto"/>
        <w:ind w:left="756"/>
        <w:jc w:val="both"/>
        <w:rPr>
          <w:rFonts w:ascii="Arial" w:hAnsi="Arial" w:cs="Arial"/>
          <w:color w:val="000000"/>
        </w:rPr>
      </w:pPr>
    </w:p>
    <w:p w14:paraId="0C403BC9" w14:textId="4997627E" w:rsidR="0085163D" w:rsidRPr="004571AE" w:rsidRDefault="0085163D" w:rsidP="0085163D">
      <w:pPr>
        <w:pStyle w:val="Prrafodelista"/>
        <w:spacing w:after="0" w:line="240" w:lineRule="auto"/>
        <w:ind w:left="756"/>
        <w:jc w:val="both"/>
        <w:rPr>
          <w:rFonts w:ascii="Arial" w:hAnsi="Arial" w:cs="Arial"/>
          <w:color w:val="000000"/>
        </w:rPr>
      </w:pPr>
      <w:r w:rsidRPr="004571AE">
        <w:rPr>
          <w:rFonts w:ascii="Arial" w:hAnsi="Arial" w:cs="Arial"/>
        </w:rPr>
        <w:t xml:space="preserve">Remitir a la Auditoría Interna a más tardar el </w:t>
      </w:r>
      <w:r w:rsidR="005C2511">
        <w:rPr>
          <w:rFonts w:ascii="Arial" w:hAnsi="Arial" w:cs="Arial"/>
        </w:rPr>
        <w:t>30 de junio de 2023</w:t>
      </w:r>
      <w:r>
        <w:rPr>
          <w:rFonts w:ascii="Arial" w:hAnsi="Arial" w:cs="Arial"/>
        </w:rPr>
        <w:t xml:space="preserve">, </w:t>
      </w:r>
      <w:r w:rsidRPr="004571AE">
        <w:rPr>
          <w:rFonts w:ascii="Arial" w:hAnsi="Arial" w:cs="Arial"/>
        </w:rPr>
        <w:t>una certificación en donde se acredite el cumplimiento de lo recomendado, así como la evidencia respectiva.</w:t>
      </w:r>
    </w:p>
    <w:p w14:paraId="17423B6E" w14:textId="51E7C405" w:rsidR="0085163D" w:rsidRDefault="0085163D" w:rsidP="0085163D">
      <w:pPr>
        <w:pStyle w:val="Prrafodelista"/>
        <w:spacing w:after="0" w:line="240" w:lineRule="auto"/>
        <w:ind w:left="756"/>
        <w:jc w:val="both"/>
        <w:rPr>
          <w:rFonts w:ascii="Arial" w:hAnsi="Arial" w:cs="Arial"/>
          <w:color w:val="000000"/>
        </w:rPr>
      </w:pPr>
    </w:p>
    <w:p w14:paraId="4357D466" w14:textId="77777777" w:rsidR="0092763F" w:rsidRDefault="0092763F" w:rsidP="0085163D">
      <w:pPr>
        <w:pStyle w:val="Prrafodelista"/>
        <w:spacing w:after="0" w:line="240" w:lineRule="auto"/>
        <w:ind w:left="756"/>
        <w:jc w:val="both"/>
        <w:rPr>
          <w:rFonts w:ascii="Arial" w:hAnsi="Arial" w:cs="Arial"/>
          <w:color w:val="000000"/>
        </w:rPr>
      </w:pPr>
    </w:p>
    <w:p w14:paraId="62EEA148" w14:textId="77777777" w:rsidR="00395EB2" w:rsidRPr="006659EB" w:rsidRDefault="004571AE" w:rsidP="00387D65">
      <w:pPr>
        <w:pStyle w:val="Prrafodelista"/>
        <w:numPr>
          <w:ilvl w:val="1"/>
          <w:numId w:val="34"/>
        </w:numPr>
        <w:spacing w:after="0" w:line="240" w:lineRule="auto"/>
        <w:jc w:val="both"/>
        <w:rPr>
          <w:rFonts w:ascii="Arial" w:hAnsi="Arial" w:cs="Arial"/>
          <w:color w:val="000000"/>
        </w:rPr>
      </w:pPr>
      <w:r w:rsidRPr="006659EB">
        <w:rPr>
          <w:rFonts w:ascii="Arial" w:hAnsi="Arial" w:cs="Arial"/>
          <w:color w:val="000000"/>
        </w:rPr>
        <w:t xml:space="preserve">Realizar </w:t>
      </w:r>
      <w:r w:rsidR="008C7854">
        <w:rPr>
          <w:rFonts w:ascii="Arial" w:hAnsi="Arial" w:cs="Arial"/>
          <w:color w:val="000000"/>
        </w:rPr>
        <w:t>l</w:t>
      </w:r>
      <w:r w:rsidR="000619C8" w:rsidRPr="006659EB">
        <w:rPr>
          <w:rFonts w:ascii="Arial" w:hAnsi="Arial" w:cs="Arial"/>
          <w:color w:val="000000"/>
        </w:rPr>
        <w:t>a valoración de riesgos</w:t>
      </w:r>
      <w:r w:rsidR="00A16C20" w:rsidRPr="006659EB">
        <w:rPr>
          <w:rFonts w:ascii="Arial" w:hAnsi="Arial" w:cs="Arial"/>
          <w:color w:val="000000"/>
        </w:rPr>
        <w:t xml:space="preserve"> </w:t>
      </w:r>
      <w:r w:rsidR="006659EB" w:rsidRPr="006659EB">
        <w:rPr>
          <w:rFonts w:ascii="Arial" w:hAnsi="Arial" w:cs="Arial"/>
          <w:color w:val="000000"/>
        </w:rPr>
        <w:t>de</w:t>
      </w:r>
      <w:r w:rsidR="00A16C20" w:rsidRPr="006659EB">
        <w:rPr>
          <w:rFonts w:ascii="Arial" w:hAnsi="Arial" w:cs="Arial"/>
          <w:color w:val="000000"/>
        </w:rPr>
        <w:t>l proceso de administración de expedientes</w:t>
      </w:r>
      <w:r w:rsidR="009E1BF2" w:rsidRPr="006659EB">
        <w:rPr>
          <w:rFonts w:ascii="Arial" w:hAnsi="Arial" w:cs="Arial"/>
          <w:color w:val="000000"/>
        </w:rPr>
        <w:t>,</w:t>
      </w:r>
      <w:r w:rsidR="00A16C20" w:rsidRPr="006659EB">
        <w:rPr>
          <w:rFonts w:ascii="Arial" w:hAnsi="Arial" w:cs="Arial"/>
          <w:color w:val="000000"/>
        </w:rPr>
        <w:t xml:space="preserve"> que permita determinar las acciones a seguir para</w:t>
      </w:r>
      <w:r w:rsidR="006659EB" w:rsidRPr="006659EB">
        <w:rPr>
          <w:rFonts w:ascii="Arial" w:hAnsi="Arial" w:cs="Arial"/>
          <w:color w:val="000000"/>
        </w:rPr>
        <w:t xml:space="preserve"> </w:t>
      </w:r>
      <w:r w:rsidR="00A16C20" w:rsidRPr="006659EB">
        <w:rPr>
          <w:rFonts w:ascii="Arial" w:hAnsi="Arial" w:cs="Arial"/>
          <w:color w:val="000000"/>
        </w:rPr>
        <w:t>la información sea controlada</w:t>
      </w:r>
      <w:r w:rsidR="009E1BF2" w:rsidRPr="006659EB">
        <w:rPr>
          <w:rFonts w:ascii="Arial" w:hAnsi="Arial" w:cs="Arial"/>
          <w:color w:val="000000"/>
        </w:rPr>
        <w:t xml:space="preserve">, </w:t>
      </w:r>
      <w:r w:rsidR="005435AF" w:rsidRPr="006659EB">
        <w:rPr>
          <w:rFonts w:ascii="Arial" w:hAnsi="Arial" w:cs="Arial"/>
          <w:color w:val="000000"/>
        </w:rPr>
        <w:t xml:space="preserve">y </w:t>
      </w:r>
      <w:r w:rsidR="00A16C20" w:rsidRPr="006659EB">
        <w:rPr>
          <w:rFonts w:ascii="Arial" w:hAnsi="Arial" w:cs="Arial"/>
          <w:color w:val="000000"/>
        </w:rPr>
        <w:t xml:space="preserve">se disminuya </w:t>
      </w:r>
      <w:r w:rsidR="005435AF" w:rsidRPr="006659EB">
        <w:rPr>
          <w:rFonts w:ascii="Arial" w:hAnsi="Arial" w:cs="Arial"/>
          <w:color w:val="000000"/>
        </w:rPr>
        <w:t>el</w:t>
      </w:r>
      <w:r w:rsidR="00A16C20" w:rsidRPr="006659EB">
        <w:rPr>
          <w:rFonts w:ascii="Arial" w:hAnsi="Arial" w:cs="Arial"/>
          <w:color w:val="000000"/>
        </w:rPr>
        <w:t xml:space="preserve"> deterioro y la pérdida de información. </w:t>
      </w:r>
      <w:r w:rsidR="00395EB2" w:rsidRPr="006659EB">
        <w:rPr>
          <w:rFonts w:ascii="Arial" w:hAnsi="Arial" w:cs="Arial"/>
          <w:color w:val="000000"/>
        </w:rPr>
        <w:t xml:space="preserve">  Ver punto 2.2</w:t>
      </w:r>
      <w:r w:rsidR="00C663E8">
        <w:rPr>
          <w:rFonts w:ascii="Arial" w:hAnsi="Arial" w:cs="Arial"/>
          <w:color w:val="000000"/>
        </w:rPr>
        <w:t>.1</w:t>
      </w:r>
      <w:r w:rsidR="00395EB2" w:rsidRPr="006659EB">
        <w:rPr>
          <w:rFonts w:ascii="Arial" w:hAnsi="Arial" w:cs="Arial"/>
          <w:color w:val="000000"/>
        </w:rPr>
        <w:t xml:space="preserve"> del presente informe.  </w:t>
      </w:r>
    </w:p>
    <w:p w14:paraId="77AE3B71" w14:textId="77777777" w:rsidR="00395EB2" w:rsidRPr="00395EB2" w:rsidRDefault="00395EB2" w:rsidP="00387D65">
      <w:pPr>
        <w:pStyle w:val="Prrafodelista"/>
        <w:spacing w:after="0" w:line="240" w:lineRule="auto"/>
        <w:ind w:left="756"/>
        <w:jc w:val="both"/>
        <w:rPr>
          <w:rFonts w:ascii="Arial" w:hAnsi="Arial" w:cs="Arial"/>
          <w:color w:val="000000"/>
        </w:rPr>
      </w:pPr>
    </w:p>
    <w:p w14:paraId="722B5AA7" w14:textId="45D9A4E3" w:rsidR="004571AE" w:rsidRPr="004571AE" w:rsidRDefault="00A16C20" w:rsidP="00387D65">
      <w:pPr>
        <w:pStyle w:val="Prrafodelista"/>
        <w:spacing w:after="0" w:line="240" w:lineRule="auto"/>
        <w:ind w:left="756"/>
        <w:jc w:val="both"/>
        <w:rPr>
          <w:rFonts w:ascii="Arial" w:hAnsi="Arial" w:cs="Arial"/>
          <w:color w:val="000000"/>
        </w:rPr>
      </w:pPr>
      <w:r w:rsidRPr="004571AE">
        <w:rPr>
          <w:rFonts w:ascii="Arial" w:hAnsi="Arial" w:cs="Arial"/>
        </w:rPr>
        <w:t xml:space="preserve">Remitir a la Auditoría Interna a más tardar el </w:t>
      </w:r>
      <w:r w:rsidR="005C2511">
        <w:rPr>
          <w:rFonts w:ascii="Arial" w:hAnsi="Arial" w:cs="Arial"/>
        </w:rPr>
        <w:t xml:space="preserve">30 de </w:t>
      </w:r>
      <w:r w:rsidR="00BC2A97">
        <w:rPr>
          <w:rFonts w:ascii="Arial" w:hAnsi="Arial" w:cs="Arial"/>
        </w:rPr>
        <w:t>marzo</w:t>
      </w:r>
      <w:r w:rsidR="005C2511">
        <w:rPr>
          <w:rFonts w:ascii="Arial" w:hAnsi="Arial" w:cs="Arial"/>
        </w:rPr>
        <w:t xml:space="preserve"> de 2023</w:t>
      </w:r>
      <w:r w:rsidR="008C7854">
        <w:rPr>
          <w:rFonts w:ascii="Arial" w:hAnsi="Arial" w:cs="Arial"/>
        </w:rPr>
        <w:t xml:space="preserve">, </w:t>
      </w:r>
      <w:r w:rsidRPr="004571AE">
        <w:rPr>
          <w:rFonts w:ascii="Arial" w:hAnsi="Arial" w:cs="Arial"/>
        </w:rPr>
        <w:t>una certificación en donde se acredite el cumplimiento de lo recomendado, así como la evidencia respectiva.</w:t>
      </w:r>
    </w:p>
    <w:p w14:paraId="0441BB92" w14:textId="1B7C2C11" w:rsidR="004571AE" w:rsidRDefault="004571AE" w:rsidP="00387D65">
      <w:pPr>
        <w:pStyle w:val="Prrafodelista"/>
        <w:spacing w:after="0" w:line="240" w:lineRule="auto"/>
        <w:ind w:left="756"/>
        <w:jc w:val="both"/>
        <w:rPr>
          <w:rFonts w:ascii="Arial" w:hAnsi="Arial" w:cs="Arial"/>
          <w:color w:val="000000"/>
        </w:rPr>
      </w:pPr>
    </w:p>
    <w:p w14:paraId="05B347F2" w14:textId="77777777" w:rsidR="0092763F" w:rsidRPr="004571AE" w:rsidRDefault="0092763F" w:rsidP="00387D65">
      <w:pPr>
        <w:pStyle w:val="Prrafodelista"/>
        <w:spacing w:after="0" w:line="240" w:lineRule="auto"/>
        <w:ind w:left="756"/>
        <w:jc w:val="both"/>
        <w:rPr>
          <w:rFonts w:ascii="Arial" w:hAnsi="Arial" w:cs="Arial"/>
          <w:color w:val="000000"/>
        </w:rPr>
      </w:pPr>
    </w:p>
    <w:p w14:paraId="68C5901A" w14:textId="77777777" w:rsidR="003F5283" w:rsidRDefault="00CC149D" w:rsidP="00387D65">
      <w:pPr>
        <w:pStyle w:val="Prrafodelista"/>
        <w:numPr>
          <w:ilvl w:val="1"/>
          <w:numId w:val="34"/>
        </w:numPr>
        <w:spacing w:after="0" w:line="240" w:lineRule="auto"/>
        <w:jc w:val="both"/>
        <w:rPr>
          <w:rFonts w:ascii="Arial" w:hAnsi="Arial" w:cs="Arial"/>
          <w:color w:val="000000"/>
        </w:rPr>
      </w:pPr>
      <w:r w:rsidRPr="004571AE">
        <w:rPr>
          <w:rFonts w:ascii="Arial" w:hAnsi="Arial" w:cs="Arial"/>
        </w:rPr>
        <w:t>Elaborar, oficializar y divulgar un procedimiento</w:t>
      </w:r>
      <w:r w:rsidR="006B551B">
        <w:rPr>
          <w:rFonts w:ascii="Arial" w:hAnsi="Arial" w:cs="Arial"/>
        </w:rPr>
        <w:t xml:space="preserve"> para el manejo de los expedientes de cobro judicial, tanto en forma física como en el sistema de información automatizado que se utilice</w:t>
      </w:r>
      <w:r w:rsidRPr="004571AE">
        <w:rPr>
          <w:rFonts w:ascii="Arial" w:hAnsi="Arial" w:cs="Arial"/>
        </w:rPr>
        <w:t xml:space="preserve">. </w:t>
      </w:r>
      <w:r w:rsidR="003F5283">
        <w:rPr>
          <w:rFonts w:ascii="Arial" w:hAnsi="Arial" w:cs="Arial"/>
          <w:color w:val="000000"/>
        </w:rPr>
        <w:t xml:space="preserve"> </w:t>
      </w:r>
      <w:r w:rsidR="00051664">
        <w:rPr>
          <w:rFonts w:ascii="Arial" w:hAnsi="Arial" w:cs="Arial"/>
        </w:rPr>
        <w:t>Ver punto 2.</w:t>
      </w:r>
      <w:r w:rsidR="00C663E8">
        <w:rPr>
          <w:rFonts w:ascii="Arial" w:hAnsi="Arial" w:cs="Arial"/>
        </w:rPr>
        <w:t>2.2</w:t>
      </w:r>
      <w:r w:rsidR="00767759">
        <w:rPr>
          <w:rFonts w:ascii="Arial" w:hAnsi="Arial" w:cs="Arial"/>
        </w:rPr>
        <w:t>.</w:t>
      </w:r>
      <w:r w:rsidR="00C663E8">
        <w:rPr>
          <w:rFonts w:ascii="Arial" w:hAnsi="Arial" w:cs="Arial"/>
        </w:rPr>
        <w:t xml:space="preserve"> </w:t>
      </w:r>
      <w:r w:rsidR="00051664">
        <w:rPr>
          <w:rFonts w:ascii="Arial" w:hAnsi="Arial" w:cs="Arial"/>
        </w:rPr>
        <w:t>del presente informe.</w:t>
      </w:r>
    </w:p>
    <w:p w14:paraId="7E361AE5" w14:textId="77777777" w:rsidR="003F5283" w:rsidRDefault="003F5283" w:rsidP="00387D65">
      <w:pPr>
        <w:pStyle w:val="Prrafodelista"/>
        <w:spacing w:after="0" w:line="240" w:lineRule="auto"/>
        <w:ind w:left="756"/>
        <w:jc w:val="both"/>
        <w:rPr>
          <w:rFonts w:ascii="Arial" w:hAnsi="Arial" w:cs="Arial"/>
        </w:rPr>
      </w:pPr>
    </w:p>
    <w:p w14:paraId="7CB2C124" w14:textId="181DAF45" w:rsidR="004571AE" w:rsidRPr="004571AE" w:rsidRDefault="00CC149D" w:rsidP="00387D65">
      <w:pPr>
        <w:pStyle w:val="Prrafodelista"/>
        <w:spacing w:after="0" w:line="240" w:lineRule="auto"/>
        <w:ind w:left="756"/>
        <w:jc w:val="both"/>
        <w:rPr>
          <w:rFonts w:ascii="Arial" w:hAnsi="Arial" w:cs="Arial"/>
          <w:color w:val="000000"/>
        </w:rPr>
      </w:pPr>
      <w:r w:rsidRPr="004571AE">
        <w:rPr>
          <w:rFonts w:ascii="Arial" w:hAnsi="Arial" w:cs="Arial"/>
        </w:rPr>
        <w:t xml:space="preserve">Remitir a la Auditoría Interna a más tardar el </w:t>
      </w:r>
      <w:r w:rsidR="005C2511">
        <w:rPr>
          <w:rFonts w:ascii="Arial" w:hAnsi="Arial" w:cs="Arial"/>
        </w:rPr>
        <w:t xml:space="preserve">30 de junio </w:t>
      </w:r>
      <w:r w:rsidR="0092763F">
        <w:rPr>
          <w:rFonts w:ascii="Arial" w:hAnsi="Arial" w:cs="Arial"/>
        </w:rPr>
        <w:t xml:space="preserve">de </w:t>
      </w:r>
      <w:r w:rsidR="005C2511">
        <w:rPr>
          <w:rFonts w:ascii="Arial" w:hAnsi="Arial" w:cs="Arial"/>
        </w:rPr>
        <w:t>2023</w:t>
      </w:r>
      <w:r w:rsidR="008C7854">
        <w:rPr>
          <w:rFonts w:ascii="Arial" w:hAnsi="Arial" w:cs="Arial"/>
        </w:rPr>
        <w:t xml:space="preserve">, </w:t>
      </w:r>
      <w:r w:rsidRPr="004571AE">
        <w:rPr>
          <w:rFonts w:ascii="Arial" w:hAnsi="Arial" w:cs="Arial"/>
        </w:rPr>
        <w:t>una certificación en donde se acredite el cumplimiento de lo recomendado, así como la evidencia respectiva.</w:t>
      </w:r>
      <w:r w:rsidR="006659EB">
        <w:rPr>
          <w:rFonts w:ascii="Arial" w:hAnsi="Arial" w:cs="Arial"/>
        </w:rPr>
        <w:t xml:space="preserve"> </w:t>
      </w:r>
    </w:p>
    <w:p w14:paraId="70A88F51" w14:textId="49DBB221" w:rsidR="004571AE" w:rsidRDefault="004571AE" w:rsidP="00387D65">
      <w:pPr>
        <w:pStyle w:val="Prrafodelista"/>
        <w:spacing w:after="0" w:line="240" w:lineRule="auto"/>
        <w:rPr>
          <w:rFonts w:ascii="Arial" w:hAnsi="Arial" w:cs="Arial"/>
        </w:rPr>
      </w:pPr>
    </w:p>
    <w:p w14:paraId="0C4D8411" w14:textId="77777777" w:rsidR="0092763F" w:rsidRPr="004571AE" w:rsidRDefault="0092763F" w:rsidP="00387D65">
      <w:pPr>
        <w:pStyle w:val="Prrafodelista"/>
        <w:spacing w:after="0" w:line="240" w:lineRule="auto"/>
        <w:rPr>
          <w:rFonts w:ascii="Arial" w:hAnsi="Arial" w:cs="Arial"/>
        </w:rPr>
      </w:pPr>
    </w:p>
    <w:p w14:paraId="0D8EFF67" w14:textId="77777777" w:rsidR="00AE7A47" w:rsidRPr="00AE7A47" w:rsidRDefault="00D46C6E" w:rsidP="00387D65">
      <w:pPr>
        <w:pStyle w:val="Prrafodelista"/>
        <w:numPr>
          <w:ilvl w:val="1"/>
          <w:numId w:val="34"/>
        </w:numPr>
        <w:spacing w:after="0" w:line="240" w:lineRule="auto"/>
        <w:jc w:val="both"/>
        <w:rPr>
          <w:rFonts w:ascii="Arial" w:hAnsi="Arial" w:cs="Arial"/>
          <w:color w:val="000000"/>
        </w:rPr>
      </w:pPr>
      <w:r>
        <w:rPr>
          <w:rFonts w:ascii="Arial" w:hAnsi="Arial" w:cs="Arial"/>
        </w:rPr>
        <w:t>Establece</w:t>
      </w:r>
      <w:r w:rsidR="006447CD">
        <w:rPr>
          <w:rFonts w:ascii="Arial" w:hAnsi="Arial" w:cs="Arial"/>
        </w:rPr>
        <w:t>r</w:t>
      </w:r>
      <w:r>
        <w:rPr>
          <w:rFonts w:ascii="Arial" w:hAnsi="Arial" w:cs="Arial"/>
        </w:rPr>
        <w:t xml:space="preserve">, en </w:t>
      </w:r>
      <w:r w:rsidR="0085163D">
        <w:rPr>
          <w:rFonts w:ascii="Arial" w:hAnsi="Arial" w:cs="Arial"/>
        </w:rPr>
        <w:t>coordinación</w:t>
      </w:r>
      <w:r w:rsidR="00767759" w:rsidRPr="00AE7A47">
        <w:rPr>
          <w:rFonts w:ascii="Arial" w:hAnsi="Arial" w:cs="Arial"/>
        </w:rPr>
        <w:t xml:space="preserve"> </w:t>
      </w:r>
      <w:r w:rsidRPr="00AE7A47">
        <w:rPr>
          <w:rFonts w:ascii="Arial" w:hAnsi="Arial" w:cs="Arial"/>
        </w:rPr>
        <w:t>con</w:t>
      </w:r>
      <w:r w:rsidR="004C2301" w:rsidRPr="00AE7A47">
        <w:rPr>
          <w:rFonts w:ascii="Arial" w:hAnsi="Arial" w:cs="Arial"/>
        </w:rPr>
        <w:t xml:space="preserve"> la </w:t>
      </w:r>
      <w:r w:rsidRPr="00AE7A47">
        <w:rPr>
          <w:rFonts w:ascii="Arial" w:hAnsi="Arial" w:cs="Arial"/>
        </w:rPr>
        <w:t>U</w:t>
      </w:r>
      <w:r w:rsidR="004C2301" w:rsidRPr="00AE7A47">
        <w:rPr>
          <w:rFonts w:ascii="Arial" w:hAnsi="Arial" w:cs="Arial"/>
        </w:rPr>
        <w:t>nidad de Archivo Institucional</w:t>
      </w:r>
      <w:r>
        <w:rPr>
          <w:rFonts w:ascii="Arial" w:hAnsi="Arial" w:cs="Arial"/>
        </w:rPr>
        <w:t>,</w:t>
      </w:r>
      <w:r w:rsidR="004C2301" w:rsidRPr="004571AE">
        <w:rPr>
          <w:rFonts w:ascii="Arial" w:hAnsi="Arial" w:cs="Arial"/>
        </w:rPr>
        <w:t xml:space="preserve"> controles </w:t>
      </w:r>
      <w:r w:rsidR="00AE7A47">
        <w:rPr>
          <w:rFonts w:ascii="Arial" w:hAnsi="Arial" w:cs="Arial"/>
        </w:rPr>
        <w:t xml:space="preserve">que permitan clasificar, ordenar, seleccionar, administrar, custodiar y conservar los </w:t>
      </w:r>
      <w:r w:rsidR="004C2301" w:rsidRPr="004571AE">
        <w:rPr>
          <w:rFonts w:ascii="Arial" w:hAnsi="Arial" w:cs="Arial"/>
        </w:rPr>
        <w:t>documentos</w:t>
      </w:r>
      <w:r w:rsidR="00AE7A47">
        <w:rPr>
          <w:rFonts w:ascii="Arial" w:hAnsi="Arial" w:cs="Arial"/>
        </w:rPr>
        <w:t xml:space="preserve">. </w:t>
      </w:r>
      <w:r w:rsidR="00D9314A">
        <w:rPr>
          <w:rFonts w:ascii="Arial" w:hAnsi="Arial" w:cs="Arial"/>
        </w:rPr>
        <w:t>Ver punto 2.</w:t>
      </w:r>
      <w:r w:rsidR="00C663E8">
        <w:rPr>
          <w:rFonts w:ascii="Arial" w:hAnsi="Arial" w:cs="Arial"/>
        </w:rPr>
        <w:t xml:space="preserve">2.3 </w:t>
      </w:r>
      <w:r w:rsidR="00D9314A">
        <w:rPr>
          <w:rFonts w:ascii="Arial" w:hAnsi="Arial" w:cs="Arial"/>
        </w:rPr>
        <w:t>del presente informe.</w:t>
      </w:r>
    </w:p>
    <w:p w14:paraId="41E8D854" w14:textId="77777777" w:rsidR="00AE7A47" w:rsidRDefault="00AE7A47" w:rsidP="00387D65">
      <w:pPr>
        <w:spacing w:after="0" w:line="240" w:lineRule="auto"/>
        <w:ind w:left="360"/>
        <w:jc w:val="both"/>
        <w:rPr>
          <w:rFonts w:ascii="Arial" w:hAnsi="Arial" w:cs="Arial"/>
        </w:rPr>
      </w:pPr>
      <w:bookmarkStart w:id="60" w:name="_Hlk118374723"/>
    </w:p>
    <w:p w14:paraId="1CBFD40D" w14:textId="3DD34C57" w:rsidR="004571AE" w:rsidRPr="00AE7A47" w:rsidRDefault="004C2301" w:rsidP="00387D65">
      <w:pPr>
        <w:spacing w:after="0" w:line="240" w:lineRule="auto"/>
        <w:ind w:left="708"/>
        <w:jc w:val="both"/>
        <w:rPr>
          <w:rFonts w:ascii="Arial" w:hAnsi="Arial" w:cs="Arial"/>
          <w:color w:val="000000"/>
        </w:rPr>
      </w:pPr>
      <w:r w:rsidRPr="00AE7A47">
        <w:rPr>
          <w:rFonts w:ascii="Arial" w:hAnsi="Arial" w:cs="Arial"/>
        </w:rPr>
        <w:t xml:space="preserve">Remitir a la Auditoría Interna a más tardar el </w:t>
      </w:r>
      <w:r w:rsidR="00206526">
        <w:rPr>
          <w:rFonts w:ascii="Arial" w:hAnsi="Arial" w:cs="Arial"/>
        </w:rPr>
        <w:t>30 de junio</w:t>
      </w:r>
      <w:r w:rsidR="0092763F">
        <w:rPr>
          <w:rFonts w:ascii="Arial" w:hAnsi="Arial" w:cs="Arial"/>
        </w:rPr>
        <w:t xml:space="preserve"> de</w:t>
      </w:r>
      <w:r w:rsidR="00206526">
        <w:rPr>
          <w:rFonts w:ascii="Arial" w:hAnsi="Arial" w:cs="Arial"/>
        </w:rPr>
        <w:t xml:space="preserve"> 2023</w:t>
      </w:r>
      <w:r w:rsidR="008C7854">
        <w:rPr>
          <w:rFonts w:ascii="Arial" w:hAnsi="Arial" w:cs="Arial"/>
        </w:rPr>
        <w:t xml:space="preserve">, </w:t>
      </w:r>
      <w:r w:rsidRPr="00AE7A47">
        <w:rPr>
          <w:rFonts w:ascii="Arial" w:hAnsi="Arial" w:cs="Arial"/>
        </w:rPr>
        <w:t>una certificación en donde se acredite el cumplimiento de lo recomendado, así como la evidencia respectiva.</w:t>
      </w:r>
      <w:bookmarkEnd w:id="60"/>
      <w:r w:rsidR="006659EB" w:rsidRPr="00AE7A47">
        <w:rPr>
          <w:rFonts w:ascii="Arial" w:hAnsi="Arial" w:cs="Arial"/>
        </w:rPr>
        <w:t xml:space="preserve"> </w:t>
      </w:r>
    </w:p>
    <w:p w14:paraId="0636BFC8" w14:textId="6E247F84" w:rsidR="004571AE" w:rsidRDefault="004571AE" w:rsidP="00387D65">
      <w:pPr>
        <w:pStyle w:val="Prrafodelista"/>
        <w:spacing w:after="0" w:line="240" w:lineRule="auto"/>
        <w:rPr>
          <w:rFonts w:ascii="Arial" w:hAnsi="Arial" w:cs="Arial"/>
        </w:rPr>
      </w:pPr>
    </w:p>
    <w:p w14:paraId="093CE9F6" w14:textId="77777777" w:rsidR="0092763F" w:rsidRPr="004571AE" w:rsidRDefault="0092763F" w:rsidP="00387D65">
      <w:pPr>
        <w:pStyle w:val="Prrafodelista"/>
        <w:spacing w:after="0" w:line="240" w:lineRule="auto"/>
        <w:rPr>
          <w:rFonts w:ascii="Arial" w:hAnsi="Arial" w:cs="Arial"/>
        </w:rPr>
      </w:pPr>
    </w:p>
    <w:p w14:paraId="7D6812F3" w14:textId="77777777" w:rsidR="00360B70" w:rsidRPr="00360B70" w:rsidRDefault="00164769" w:rsidP="00387D65">
      <w:pPr>
        <w:pStyle w:val="Prrafodelista"/>
        <w:numPr>
          <w:ilvl w:val="1"/>
          <w:numId w:val="34"/>
        </w:numPr>
        <w:spacing w:after="0" w:line="240" w:lineRule="auto"/>
        <w:jc w:val="both"/>
        <w:rPr>
          <w:rFonts w:ascii="Arial" w:hAnsi="Arial" w:cs="Arial"/>
          <w:color w:val="000000"/>
        </w:rPr>
      </w:pPr>
      <w:r w:rsidRPr="004571AE">
        <w:rPr>
          <w:rFonts w:ascii="Arial" w:hAnsi="Arial" w:cs="Arial"/>
        </w:rPr>
        <w:t>Elaborar un informe en el cual se documente el estado actual de los 1468 expedientes consignados como improcedentes y 1282 expedientes no localizados.</w:t>
      </w:r>
      <w:bookmarkStart w:id="61" w:name="_Hlk118374886"/>
      <w:r w:rsidR="00D9314A">
        <w:rPr>
          <w:rFonts w:ascii="Arial" w:hAnsi="Arial" w:cs="Arial"/>
        </w:rPr>
        <w:t xml:space="preserve"> Ver </w:t>
      </w:r>
      <w:r w:rsidR="00AE6EB5">
        <w:rPr>
          <w:rFonts w:ascii="Arial" w:hAnsi="Arial" w:cs="Arial"/>
        </w:rPr>
        <w:t xml:space="preserve">el detalle en el </w:t>
      </w:r>
      <w:r w:rsidR="00B526BF">
        <w:rPr>
          <w:rFonts w:ascii="Arial" w:hAnsi="Arial" w:cs="Arial"/>
        </w:rPr>
        <w:t xml:space="preserve">Anexo N°2 y </w:t>
      </w:r>
      <w:r w:rsidR="00D9314A">
        <w:rPr>
          <w:rFonts w:ascii="Arial" w:hAnsi="Arial" w:cs="Arial"/>
        </w:rPr>
        <w:t>punto 2.</w:t>
      </w:r>
      <w:r w:rsidR="00767759">
        <w:rPr>
          <w:rFonts w:ascii="Arial" w:hAnsi="Arial" w:cs="Arial"/>
        </w:rPr>
        <w:t xml:space="preserve">2.4 </w:t>
      </w:r>
      <w:r w:rsidR="00D9314A">
        <w:rPr>
          <w:rFonts w:ascii="Arial" w:hAnsi="Arial" w:cs="Arial"/>
        </w:rPr>
        <w:t>del presente informe.</w:t>
      </w:r>
      <w:r w:rsidR="00360B70">
        <w:rPr>
          <w:rFonts w:ascii="Arial" w:hAnsi="Arial" w:cs="Arial"/>
        </w:rPr>
        <w:t xml:space="preserve"> </w:t>
      </w:r>
    </w:p>
    <w:p w14:paraId="1CABF66E" w14:textId="77777777" w:rsidR="00360B70" w:rsidRDefault="00360B70" w:rsidP="00387D65">
      <w:pPr>
        <w:pStyle w:val="Prrafodelista"/>
        <w:spacing w:after="0" w:line="240" w:lineRule="auto"/>
        <w:ind w:left="756"/>
        <w:jc w:val="both"/>
        <w:rPr>
          <w:rFonts w:ascii="Arial" w:hAnsi="Arial" w:cs="Arial"/>
        </w:rPr>
      </w:pPr>
    </w:p>
    <w:p w14:paraId="0C19A112" w14:textId="6235725F" w:rsidR="004571AE" w:rsidRPr="004571AE" w:rsidRDefault="00164769" w:rsidP="00387D65">
      <w:pPr>
        <w:pStyle w:val="Prrafodelista"/>
        <w:spacing w:after="0" w:line="240" w:lineRule="auto"/>
        <w:ind w:left="756"/>
        <w:jc w:val="both"/>
        <w:rPr>
          <w:rFonts w:ascii="Arial" w:hAnsi="Arial" w:cs="Arial"/>
          <w:color w:val="000000"/>
        </w:rPr>
      </w:pPr>
      <w:r w:rsidRPr="004571AE">
        <w:rPr>
          <w:rFonts w:ascii="Arial" w:hAnsi="Arial" w:cs="Arial"/>
        </w:rPr>
        <w:lastRenderedPageBreak/>
        <w:t xml:space="preserve">Remitir a la Auditoría Interna a más tardar el </w:t>
      </w:r>
      <w:r w:rsidR="008C7854">
        <w:rPr>
          <w:rFonts w:ascii="Arial" w:hAnsi="Arial" w:cs="Arial"/>
        </w:rPr>
        <w:t xml:space="preserve">30 de </w:t>
      </w:r>
      <w:r w:rsidR="00206526">
        <w:rPr>
          <w:rFonts w:ascii="Arial" w:hAnsi="Arial" w:cs="Arial"/>
        </w:rPr>
        <w:t>setiembre</w:t>
      </w:r>
      <w:r w:rsidRPr="004571AE">
        <w:rPr>
          <w:rFonts w:ascii="Arial" w:hAnsi="Arial" w:cs="Arial"/>
        </w:rPr>
        <w:t xml:space="preserve"> </w:t>
      </w:r>
      <w:r w:rsidR="008C7854" w:rsidRPr="00B457FC">
        <w:rPr>
          <w:rFonts w:ascii="Arial" w:hAnsi="Arial" w:cs="Arial"/>
        </w:rPr>
        <w:t>de 202</w:t>
      </w:r>
      <w:r w:rsidR="008C7854">
        <w:rPr>
          <w:rFonts w:ascii="Arial" w:hAnsi="Arial" w:cs="Arial"/>
        </w:rPr>
        <w:t xml:space="preserve">3, </w:t>
      </w:r>
      <w:r w:rsidRPr="004571AE">
        <w:rPr>
          <w:rFonts w:ascii="Arial" w:hAnsi="Arial" w:cs="Arial"/>
        </w:rPr>
        <w:t>una certificación en donde se acredite el cumplimiento de lo recomendado, así como la evidencia respectiva.</w:t>
      </w:r>
      <w:bookmarkEnd w:id="61"/>
      <w:r w:rsidR="006659EB">
        <w:rPr>
          <w:rFonts w:ascii="Arial" w:hAnsi="Arial" w:cs="Arial"/>
        </w:rPr>
        <w:t xml:space="preserve"> </w:t>
      </w:r>
    </w:p>
    <w:p w14:paraId="4E44F17A" w14:textId="77777777" w:rsidR="004571AE" w:rsidRPr="004571AE" w:rsidRDefault="004571AE" w:rsidP="00387D65">
      <w:pPr>
        <w:pStyle w:val="Prrafodelista"/>
        <w:spacing w:after="0" w:line="240" w:lineRule="auto"/>
        <w:rPr>
          <w:rFonts w:ascii="Arial" w:hAnsi="Arial" w:cs="Arial"/>
        </w:rPr>
      </w:pPr>
    </w:p>
    <w:p w14:paraId="45F0A92A" w14:textId="77777777" w:rsidR="00397C5A" w:rsidRPr="00397C5A" w:rsidRDefault="006B551B" w:rsidP="00387D65">
      <w:pPr>
        <w:pStyle w:val="Prrafodelista"/>
        <w:numPr>
          <w:ilvl w:val="1"/>
          <w:numId w:val="34"/>
        </w:numPr>
        <w:spacing w:after="0" w:line="240" w:lineRule="auto"/>
        <w:jc w:val="both"/>
        <w:rPr>
          <w:rFonts w:ascii="Arial" w:hAnsi="Arial" w:cs="Arial"/>
          <w:color w:val="000000"/>
        </w:rPr>
      </w:pPr>
      <w:r w:rsidRPr="00022A79">
        <w:rPr>
          <w:rFonts w:ascii="Arial" w:hAnsi="Arial" w:cs="Arial"/>
        </w:rPr>
        <w:t xml:space="preserve">Elaborar, oficializar </w:t>
      </w:r>
      <w:r>
        <w:rPr>
          <w:rFonts w:ascii="Arial" w:hAnsi="Arial" w:cs="Arial"/>
        </w:rPr>
        <w:t xml:space="preserve">y divulgar </w:t>
      </w:r>
      <w:r w:rsidR="00397C5A">
        <w:rPr>
          <w:rFonts w:ascii="Arial" w:hAnsi="Arial" w:cs="Arial"/>
        </w:rPr>
        <w:t xml:space="preserve">un documento </w:t>
      </w:r>
      <w:r w:rsidRPr="004571AE">
        <w:rPr>
          <w:rFonts w:ascii="Arial" w:hAnsi="Arial" w:cs="Arial"/>
        </w:rPr>
        <w:t>y su respectivo diagrama</w:t>
      </w:r>
      <w:r w:rsidR="00397C5A">
        <w:rPr>
          <w:rFonts w:ascii="Arial" w:hAnsi="Arial" w:cs="Arial"/>
        </w:rPr>
        <w:t xml:space="preserve">, sobre </w:t>
      </w:r>
      <w:r w:rsidRPr="004571AE">
        <w:rPr>
          <w:rFonts w:ascii="Arial" w:hAnsi="Arial" w:cs="Arial"/>
        </w:rPr>
        <w:t>el proceso de cobro judicial</w:t>
      </w:r>
      <w:r w:rsidR="00397C5A">
        <w:rPr>
          <w:rFonts w:ascii="Arial" w:hAnsi="Arial" w:cs="Arial"/>
        </w:rPr>
        <w:t>, que incluya la definición de controles, al menos sobre los siguientes temas:</w:t>
      </w:r>
    </w:p>
    <w:p w14:paraId="3C9693EA" w14:textId="77777777" w:rsidR="004571AE" w:rsidRPr="004571AE" w:rsidRDefault="004571AE" w:rsidP="00387D65">
      <w:pPr>
        <w:pStyle w:val="Prrafodelista"/>
        <w:spacing w:after="0" w:line="240" w:lineRule="auto"/>
        <w:rPr>
          <w:rFonts w:ascii="Arial" w:hAnsi="Arial" w:cs="Arial"/>
        </w:rPr>
      </w:pPr>
    </w:p>
    <w:p w14:paraId="77B541CF" w14:textId="77777777" w:rsidR="00397C5A" w:rsidRPr="007B6979"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El registro en el sistema de deudas que deben considerarse como “deuda pasiva”</w:t>
      </w:r>
      <w:r w:rsidRPr="007B6979">
        <w:rPr>
          <w:rFonts w:ascii="Arial" w:hAnsi="Arial" w:cs="Arial"/>
          <w:color w:val="000000"/>
        </w:rPr>
        <w:t>.</w:t>
      </w:r>
    </w:p>
    <w:p w14:paraId="7FAA9F2D"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 xml:space="preserve">Cobro de </w:t>
      </w:r>
      <w:r w:rsidRPr="007B6979">
        <w:rPr>
          <w:rFonts w:ascii="Arial" w:hAnsi="Arial" w:cs="Arial"/>
          <w:color w:val="000000"/>
        </w:rPr>
        <w:t>honorarios.</w:t>
      </w:r>
    </w:p>
    <w:p w14:paraId="4FA980A6"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Verificación del ingreso de los montos cancelados (por ejemplo, revisión del sistema SIIAT, incorporación de evidencia del cobro en el expediente).</w:t>
      </w:r>
    </w:p>
    <w:p w14:paraId="34B95186"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Emisión de</w:t>
      </w:r>
      <w:r w:rsidRPr="008973BD">
        <w:rPr>
          <w:rFonts w:ascii="Arial" w:hAnsi="Arial" w:cs="Arial"/>
          <w:color w:val="000000"/>
        </w:rPr>
        <w:t xml:space="preserve"> alerta</w:t>
      </w:r>
      <w:r>
        <w:rPr>
          <w:rFonts w:ascii="Arial" w:hAnsi="Arial" w:cs="Arial"/>
          <w:color w:val="000000"/>
        </w:rPr>
        <w:t>s</w:t>
      </w:r>
      <w:r w:rsidRPr="008973BD">
        <w:rPr>
          <w:rFonts w:ascii="Arial" w:hAnsi="Arial" w:cs="Arial"/>
          <w:color w:val="000000"/>
        </w:rPr>
        <w:t xml:space="preserve"> sobre expedientes que no cuentan con ningún trámite de cobro y están cerca de prescribir</w:t>
      </w:r>
      <w:r>
        <w:rPr>
          <w:rFonts w:ascii="Arial" w:hAnsi="Arial" w:cs="Arial"/>
          <w:color w:val="000000"/>
        </w:rPr>
        <w:t>.</w:t>
      </w:r>
    </w:p>
    <w:p w14:paraId="447946C3"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S</w:t>
      </w:r>
      <w:r w:rsidRPr="008973BD">
        <w:rPr>
          <w:rFonts w:ascii="Arial" w:hAnsi="Arial" w:cs="Arial"/>
          <w:color w:val="000000"/>
        </w:rPr>
        <w:t>eguimiento oportuno sobre los expedientes por parte de la Jefatura del Departamento de Cobro Judicial</w:t>
      </w:r>
      <w:r>
        <w:rPr>
          <w:rFonts w:ascii="Arial" w:hAnsi="Arial" w:cs="Arial"/>
          <w:color w:val="000000"/>
        </w:rPr>
        <w:t>.</w:t>
      </w:r>
    </w:p>
    <w:p w14:paraId="7B9C92CF"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Aseguramiento de la u</w:t>
      </w:r>
      <w:r w:rsidRPr="008973BD">
        <w:rPr>
          <w:rFonts w:ascii="Arial" w:hAnsi="Arial" w:cs="Arial"/>
          <w:color w:val="000000"/>
        </w:rPr>
        <w:t>bicación de los expedientes en el archivo</w:t>
      </w:r>
      <w:r>
        <w:rPr>
          <w:rFonts w:ascii="Arial" w:hAnsi="Arial" w:cs="Arial"/>
          <w:color w:val="000000"/>
        </w:rPr>
        <w:t>.</w:t>
      </w:r>
    </w:p>
    <w:p w14:paraId="40B90596" w14:textId="77777777" w:rsidR="00397C5A" w:rsidRDefault="00397C5A"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S</w:t>
      </w:r>
      <w:r w:rsidRPr="007B6979">
        <w:rPr>
          <w:rFonts w:ascii="Arial" w:hAnsi="Arial" w:cs="Arial"/>
          <w:color w:val="000000"/>
        </w:rPr>
        <w:t xml:space="preserve">eguimiento </w:t>
      </w:r>
      <w:r>
        <w:rPr>
          <w:rFonts w:ascii="Arial" w:hAnsi="Arial" w:cs="Arial"/>
          <w:color w:val="000000"/>
        </w:rPr>
        <w:t xml:space="preserve">de los expedientes que se encuentran en el Juzgado </w:t>
      </w:r>
      <w:r w:rsidR="00942F20">
        <w:rPr>
          <w:rFonts w:ascii="Arial" w:hAnsi="Arial" w:cs="Arial"/>
          <w:color w:val="000000"/>
        </w:rPr>
        <w:t>Civil de Hacienda</w:t>
      </w:r>
      <w:r w:rsidRPr="007B6979">
        <w:rPr>
          <w:rFonts w:ascii="Arial" w:hAnsi="Arial" w:cs="Arial"/>
          <w:color w:val="000000"/>
        </w:rPr>
        <w:t xml:space="preserve">. </w:t>
      </w:r>
    </w:p>
    <w:p w14:paraId="15182509" w14:textId="5E51CC4D" w:rsidR="00397C5A" w:rsidRDefault="00942F20"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Aseguramiento de la realización del</w:t>
      </w:r>
      <w:r w:rsidR="00397C5A" w:rsidRPr="007B6979">
        <w:rPr>
          <w:rFonts w:ascii="Arial" w:hAnsi="Arial" w:cs="Arial"/>
          <w:color w:val="000000"/>
        </w:rPr>
        <w:t xml:space="preserve"> embargo administrativo</w:t>
      </w:r>
      <w:r>
        <w:rPr>
          <w:rFonts w:ascii="Arial" w:hAnsi="Arial" w:cs="Arial"/>
          <w:color w:val="000000"/>
        </w:rPr>
        <w:t xml:space="preserve"> y documentación de</w:t>
      </w:r>
      <w:r w:rsidR="00397C5A" w:rsidRPr="007B6979">
        <w:rPr>
          <w:rFonts w:ascii="Arial" w:hAnsi="Arial" w:cs="Arial"/>
          <w:color w:val="000000"/>
        </w:rPr>
        <w:t xml:space="preserve"> las gestiones realizadas. </w:t>
      </w:r>
    </w:p>
    <w:p w14:paraId="5A518011" w14:textId="77777777" w:rsidR="00397C5A" w:rsidRDefault="00942F20"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Evidencia de la notificación del</w:t>
      </w:r>
      <w:r w:rsidR="00397C5A" w:rsidRPr="007B6979">
        <w:rPr>
          <w:rFonts w:ascii="Arial" w:hAnsi="Arial" w:cs="Arial"/>
          <w:color w:val="000000"/>
        </w:rPr>
        <w:t xml:space="preserve"> </w:t>
      </w:r>
      <w:r w:rsidR="00397C5A">
        <w:rPr>
          <w:rFonts w:ascii="Arial" w:hAnsi="Arial" w:cs="Arial"/>
          <w:color w:val="000000"/>
        </w:rPr>
        <w:t>a</w:t>
      </w:r>
      <w:r w:rsidR="00397C5A" w:rsidRPr="007B6979">
        <w:rPr>
          <w:rFonts w:ascii="Arial" w:hAnsi="Arial" w:cs="Arial"/>
          <w:color w:val="000000"/>
        </w:rPr>
        <w:t>viso de cobr</w:t>
      </w:r>
      <w:r>
        <w:rPr>
          <w:rFonts w:ascii="Arial" w:hAnsi="Arial" w:cs="Arial"/>
          <w:color w:val="000000"/>
        </w:rPr>
        <w:t>o</w:t>
      </w:r>
      <w:r w:rsidR="00397C5A" w:rsidRPr="007B6979">
        <w:rPr>
          <w:rFonts w:ascii="Arial" w:hAnsi="Arial" w:cs="Arial"/>
          <w:color w:val="000000"/>
        </w:rPr>
        <w:t xml:space="preserve">. </w:t>
      </w:r>
    </w:p>
    <w:p w14:paraId="03AAF60E" w14:textId="77777777" w:rsidR="00397C5A" w:rsidRDefault="00942F20" w:rsidP="00397C5A">
      <w:pPr>
        <w:pStyle w:val="Prrafodelista"/>
        <w:numPr>
          <w:ilvl w:val="0"/>
          <w:numId w:val="39"/>
        </w:numPr>
        <w:spacing w:after="0" w:line="240" w:lineRule="auto"/>
        <w:ind w:left="1134"/>
        <w:jc w:val="both"/>
        <w:rPr>
          <w:rFonts w:ascii="Arial" w:hAnsi="Arial" w:cs="Arial"/>
          <w:color w:val="000000"/>
        </w:rPr>
      </w:pPr>
      <w:r>
        <w:rPr>
          <w:rFonts w:ascii="Arial" w:hAnsi="Arial" w:cs="Arial"/>
          <w:color w:val="000000"/>
        </w:rPr>
        <w:t>Cumplimiento de</w:t>
      </w:r>
      <w:r w:rsidR="00397C5A" w:rsidRPr="007B6979">
        <w:rPr>
          <w:rFonts w:ascii="Arial" w:hAnsi="Arial" w:cs="Arial"/>
          <w:color w:val="000000"/>
        </w:rPr>
        <w:t xml:space="preserve"> los plazos establecidos para su atención por parte del abogado. </w:t>
      </w:r>
    </w:p>
    <w:p w14:paraId="4526BDD2" w14:textId="77777777" w:rsidR="00280B5A" w:rsidRDefault="00280B5A" w:rsidP="00280B5A">
      <w:pPr>
        <w:spacing w:after="0" w:line="240" w:lineRule="auto"/>
        <w:ind w:left="851"/>
        <w:jc w:val="both"/>
        <w:rPr>
          <w:rFonts w:ascii="Arial" w:hAnsi="Arial" w:cs="Arial"/>
          <w:color w:val="000000"/>
        </w:rPr>
      </w:pPr>
    </w:p>
    <w:p w14:paraId="07A88F32" w14:textId="194347D0" w:rsidR="00280B5A" w:rsidRDefault="006659EB" w:rsidP="00280B5A">
      <w:pPr>
        <w:spacing w:after="0" w:line="240" w:lineRule="auto"/>
        <w:ind w:left="851"/>
        <w:jc w:val="both"/>
        <w:rPr>
          <w:rFonts w:ascii="Arial" w:hAnsi="Arial" w:cs="Arial"/>
          <w:color w:val="000000"/>
        </w:rPr>
      </w:pPr>
      <w:r w:rsidRPr="00280B5A">
        <w:rPr>
          <w:rFonts w:ascii="Arial" w:hAnsi="Arial" w:cs="Arial"/>
          <w:color w:val="000000"/>
        </w:rPr>
        <w:t>Ver punto 2.</w:t>
      </w:r>
      <w:r w:rsidR="00767759" w:rsidRPr="00280B5A">
        <w:rPr>
          <w:rFonts w:ascii="Arial" w:hAnsi="Arial" w:cs="Arial"/>
          <w:color w:val="000000"/>
        </w:rPr>
        <w:t xml:space="preserve">2.5 </w:t>
      </w:r>
      <w:r w:rsidRPr="00280B5A">
        <w:rPr>
          <w:rFonts w:ascii="Arial" w:hAnsi="Arial" w:cs="Arial"/>
          <w:color w:val="000000"/>
        </w:rPr>
        <w:t>del presente informe.</w:t>
      </w:r>
    </w:p>
    <w:p w14:paraId="190AFDF7" w14:textId="77777777" w:rsidR="00280B5A" w:rsidRDefault="00280B5A" w:rsidP="00280B5A">
      <w:pPr>
        <w:spacing w:after="0" w:line="240" w:lineRule="auto"/>
        <w:ind w:left="851"/>
        <w:jc w:val="both"/>
        <w:rPr>
          <w:rFonts w:ascii="Arial" w:hAnsi="Arial" w:cs="Arial"/>
        </w:rPr>
      </w:pPr>
    </w:p>
    <w:p w14:paraId="23B1C4C3" w14:textId="688A3473" w:rsidR="00B457FC" w:rsidRPr="00280B5A" w:rsidRDefault="00B457FC" w:rsidP="00280B5A">
      <w:pPr>
        <w:spacing w:after="0" w:line="240" w:lineRule="auto"/>
        <w:ind w:left="851"/>
        <w:jc w:val="both"/>
        <w:rPr>
          <w:rFonts w:ascii="Arial" w:hAnsi="Arial" w:cs="Arial"/>
          <w:color w:val="000000"/>
        </w:rPr>
      </w:pPr>
      <w:r w:rsidRPr="00280B5A">
        <w:rPr>
          <w:rFonts w:ascii="Arial" w:hAnsi="Arial" w:cs="Arial"/>
        </w:rPr>
        <w:t xml:space="preserve">Remitir a la Auditoría Interna a más tardar el </w:t>
      </w:r>
      <w:r w:rsidR="008C7854" w:rsidRPr="00280B5A">
        <w:rPr>
          <w:rFonts w:ascii="Arial" w:hAnsi="Arial" w:cs="Arial"/>
        </w:rPr>
        <w:t>30 de junio</w:t>
      </w:r>
      <w:r w:rsidRPr="00280B5A">
        <w:rPr>
          <w:rFonts w:ascii="Arial" w:hAnsi="Arial" w:cs="Arial"/>
        </w:rPr>
        <w:t xml:space="preserve"> de 202</w:t>
      </w:r>
      <w:r w:rsidR="008C7854" w:rsidRPr="00280B5A">
        <w:rPr>
          <w:rFonts w:ascii="Arial" w:hAnsi="Arial" w:cs="Arial"/>
        </w:rPr>
        <w:t xml:space="preserve">3, </w:t>
      </w:r>
      <w:r w:rsidRPr="00280B5A">
        <w:rPr>
          <w:rFonts w:ascii="Arial" w:hAnsi="Arial" w:cs="Arial"/>
        </w:rPr>
        <w:t>una certificación en donde se acredite el cumplimiento de lo recomendado, así como la evidencia respectiva.</w:t>
      </w:r>
    </w:p>
    <w:p w14:paraId="75D63F8F" w14:textId="00E8315A" w:rsidR="00E54633" w:rsidRDefault="00E54633" w:rsidP="00387D65">
      <w:pPr>
        <w:pStyle w:val="Prrafodelista"/>
        <w:spacing w:after="0" w:line="240" w:lineRule="auto"/>
        <w:ind w:left="756"/>
        <w:jc w:val="both"/>
        <w:rPr>
          <w:rFonts w:ascii="Arial" w:hAnsi="Arial" w:cs="Arial"/>
        </w:rPr>
      </w:pPr>
    </w:p>
    <w:p w14:paraId="66B9F8E6" w14:textId="77777777" w:rsidR="0092763F" w:rsidRDefault="0092763F" w:rsidP="00387D65">
      <w:pPr>
        <w:pStyle w:val="Prrafodelista"/>
        <w:spacing w:after="0" w:line="240" w:lineRule="auto"/>
        <w:ind w:left="756"/>
        <w:jc w:val="both"/>
        <w:rPr>
          <w:rFonts w:ascii="Arial" w:hAnsi="Arial" w:cs="Arial"/>
        </w:rPr>
      </w:pPr>
    </w:p>
    <w:p w14:paraId="37513F2B" w14:textId="77777777" w:rsidR="006659EB" w:rsidRPr="006659EB" w:rsidRDefault="00404303" w:rsidP="00387D65">
      <w:pPr>
        <w:pStyle w:val="Prrafodelista"/>
        <w:numPr>
          <w:ilvl w:val="1"/>
          <w:numId w:val="34"/>
        </w:numPr>
        <w:spacing w:after="0" w:line="240" w:lineRule="auto"/>
        <w:jc w:val="both"/>
        <w:rPr>
          <w:rFonts w:ascii="Arial" w:hAnsi="Arial" w:cs="Arial"/>
        </w:rPr>
      </w:pPr>
      <w:r w:rsidRPr="00022A79">
        <w:rPr>
          <w:rFonts w:ascii="Arial" w:hAnsi="Arial" w:cs="Arial"/>
        </w:rPr>
        <w:t>E</w:t>
      </w:r>
      <w:r w:rsidR="00AC56D8" w:rsidRPr="00022A79">
        <w:rPr>
          <w:rFonts w:ascii="Arial" w:hAnsi="Arial" w:cs="Arial"/>
        </w:rPr>
        <w:t>laborar</w:t>
      </w:r>
      <w:r w:rsidR="00782E72" w:rsidRPr="00022A79">
        <w:rPr>
          <w:rFonts w:ascii="Arial" w:hAnsi="Arial" w:cs="Arial"/>
        </w:rPr>
        <w:t xml:space="preserve">, comunicar y oficializar un instructivo para la preparación de informes técnicos contables </w:t>
      </w:r>
      <w:r w:rsidR="00902047">
        <w:rPr>
          <w:rFonts w:ascii="Arial" w:hAnsi="Arial" w:cs="Arial"/>
        </w:rPr>
        <w:t xml:space="preserve">sobre los resultados de la gestión del Departamento de Cobro Judicial, </w:t>
      </w:r>
      <w:r w:rsidR="00782E72" w:rsidRPr="00022A79">
        <w:rPr>
          <w:rFonts w:ascii="Arial" w:hAnsi="Arial" w:cs="Arial"/>
        </w:rPr>
        <w:t xml:space="preserve">que </w:t>
      </w:r>
      <w:r w:rsidR="00902047">
        <w:rPr>
          <w:rFonts w:ascii="Arial" w:hAnsi="Arial" w:cs="Arial"/>
        </w:rPr>
        <w:t xml:space="preserve">incluya la forma de presentación </w:t>
      </w:r>
      <w:r w:rsidR="00E8710F" w:rsidRPr="00022A79">
        <w:rPr>
          <w:rFonts w:ascii="Arial" w:hAnsi="Arial" w:cs="Arial"/>
        </w:rPr>
        <w:t xml:space="preserve">de los </w:t>
      </w:r>
      <w:r w:rsidR="00782E72" w:rsidRPr="00022A79">
        <w:rPr>
          <w:rFonts w:ascii="Arial" w:hAnsi="Arial" w:cs="Arial"/>
        </w:rPr>
        <w:t xml:space="preserve">resultados globales e individuales por Dependencia y entidad gubernamental, en relación con la recuperación de la cartera. </w:t>
      </w:r>
      <w:r w:rsidR="006659EB" w:rsidRPr="006659EB">
        <w:rPr>
          <w:rFonts w:ascii="Arial" w:hAnsi="Arial" w:cs="Arial"/>
          <w:color w:val="000000"/>
        </w:rPr>
        <w:t>Ver punto 2.</w:t>
      </w:r>
      <w:r w:rsidR="00767759">
        <w:rPr>
          <w:rFonts w:ascii="Arial" w:hAnsi="Arial" w:cs="Arial"/>
          <w:color w:val="000000"/>
        </w:rPr>
        <w:t>2.6</w:t>
      </w:r>
      <w:r w:rsidR="00767759" w:rsidRPr="006659EB">
        <w:rPr>
          <w:rFonts w:ascii="Arial" w:hAnsi="Arial" w:cs="Arial"/>
          <w:color w:val="000000"/>
        </w:rPr>
        <w:t xml:space="preserve"> </w:t>
      </w:r>
      <w:r w:rsidR="006659EB" w:rsidRPr="006659EB">
        <w:rPr>
          <w:rFonts w:ascii="Arial" w:hAnsi="Arial" w:cs="Arial"/>
          <w:color w:val="000000"/>
        </w:rPr>
        <w:t>del presente informe.</w:t>
      </w:r>
    </w:p>
    <w:p w14:paraId="42F135F4" w14:textId="77777777" w:rsidR="006659EB" w:rsidRDefault="006659EB" w:rsidP="00387D65">
      <w:pPr>
        <w:pStyle w:val="Prrafodelista"/>
        <w:spacing w:after="0" w:line="240" w:lineRule="auto"/>
        <w:ind w:left="756"/>
        <w:jc w:val="both"/>
        <w:rPr>
          <w:rFonts w:ascii="Arial" w:hAnsi="Arial" w:cs="Arial"/>
        </w:rPr>
      </w:pPr>
    </w:p>
    <w:p w14:paraId="3AAFA99B" w14:textId="6422EB8A" w:rsidR="00782E72" w:rsidRPr="004571AE" w:rsidRDefault="00782E72" w:rsidP="00387D65">
      <w:pPr>
        <w:pStyle w:val="Prrafodelista"/>
        <w:spacing w:after="0" w:line="240" w:lineRule="auto"/>
        <w:ind w:left="756"/>
        <w:jc w:val="both"/>
        <w:rPr>
          <w:rFonts w:ascii="Arial" w:hAnsi="Arial" w:cs="Arial"/>
        </w:rPr>
      </w:pPr>
      <w:r w:rsidRPr="004571AE">
        <w:rPr>
          <w:rFonts w:ascii="Arial" w:hAnsi="Arial" w:cs="Arial"/>
        </w:rPr>
        <w:t xml:space="preserve">Remitir a la Auditoría Interna a más tardar el </w:t>
      </w:r>
      <w:r w:rsidR="008C7854">
        <w:rPr>
          <w:rFonts w:ascii="Arial" w:hAnsi="Arial" w:cs="Arial"/>
        </w:rPr>
        <w:t xml:space="preserve">30 de </w:t>
      </w:r>
      <w:r w:rsidR="00206526">
        <w:rPr>
          <w:rFonts w:ascii="Arial" w:hAnsi="Arial" w:cs="Arial"/>
        </w:rPr>
        <w:t>junio</w:t>
      </w:r>
      <w:r w:rsidR="008C7854">
        <w:rPr>
          <w:rFonts w:ascii="Arial" w:hAnsi="Arial" w:cs="Arial"/>
        </w:rPr>
        <w:t xml:space="preserve"> </w:t>
      </w:r>
      <w:r w:rsidR="008C7854" w:rsidRPr="00B457FC">
        <w:rPr>
          <w:rFonts w:ascii="Arial" w:hAnsi="Arial" w:cs="Arial"/>
        </w:rPr>
        <w:t>de 202</w:t>
      </w:r>
      <w:r w:rsidR="008C7854">
        <w:rPr>
          <w:rFonts w:ascii="Arial" w:hAnsi="Arial" w:cs="Arial"/>
        </w:rPr>
        <w:t xml:space="preserve">3, </w:t>
      </w:r>
      <w:r w:rsidRPr="004571AE">
        <w:rPr>
          <w:rFonts w:ascii="Arial" w:hAnsi="Arial" w:cs="Arial"/>
        </w:rPr>
        <w:t>una certificación en donde se acredite el cumplimiento de lo recomendado, así como la evidencia respectiva.</w:t>
      </w:r>
    </w:p>
    <w:p w14:paraId="000A8298" w14:textId="77777777" w:rsidR="009D2D99" w:rsidRDefault="009D2D99" w:rsidP="00387D65">
      <w:pPr>
        <w:spacing w:after="0" w:line="240" w:lineRule="auto"/>
        <w:ind w:right="22"/>
        <w:contextualSpacing/>
        <w:jc w:val="both"/>
        <w:rPr>
          <w:rFonts w:ascii="Arial" w:hAnsi="Arial" w:cs="Arial"/>
          <w:sz w:val="24"/>
          <w:szCs w:val="24"/>
        </w:rPr>
      </w:pPr>
    </w:p>
    <w:p w14:paraId="2E40A82F" w14:textId="77777777" w:rsidR="0055222A" w:rsidRPr="00933FF8" w:rsidRDefault="0055222A" w:rsidP="00387D65">
      <w:pPr>
        <w:spacing w:after="0" w:line="240" w:lineRule="auto"/>
        <w:ind w:right="22"/>
        <w:contextualSpacing/>
        <w:jc w:val="both"/>
        <w:rPr>
          <w:rFonts w:ascii="Arial" w:hAnsi="Arial" w:cs="Arial"/>
        </w:rPr>
      </w:pPr>
      <w:r w:rsidRPr="00933FF8">
        <w:rPr>
          <w:rFonts w:ascii="Arial" w:hAnsi="Arial" w:cs="Arial"/>
        </w:rPr>
        <w:t>Con base en lo anterior, se le solicita a esa Dirección</w:t>
      </w:r>
      <w:r w:rsidR="00B16667" w:rsidRPr="00933FF8">
        <w:rPr>
          <w:rFonts w:ascii="Arial" w:hAnsi="Arial" w:cs="Arial"/>
        </w:rPr>
        <w:t xml:space="preserve"> General de Hacienda</w:t>
      </w:r>
      <w:r w:rsidRPr="00933FF8">
        <w:rPr>
          <w:rFonts w:ascii="Arial" w:hAnsi="Arial" w:cs="Arial"/>
        </w:rPr>
        <w:t xml:space="preserve">, proceder conforme lo dispone el artículo 36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10 días hábiles establecido en el </w:t>
      </w:r>
      <w:r w:rsidRPr="00933FF8">
        <w:rPr>
          <w:rFonts w:ascii="Arial" w:hAnsi="Arial" w:cs="Arial"/>
        </w:rPr>
        <w:lastRenderedPageBreak/>
        <w:t xml:space="preserve">citado artículo, así como presentar en un plazo razonable el plan de acción que se defina para la implementación efectiva de lo recomendado. </w:t>
      </w:r>
    </w:p>
    <w:p w14:paraId="0180D7F0" w14:textId="77777777" w:rsidR="0055222A" w:rsidRPr="00933FF8" w:rsidRDefault="0055222A" w:rsidP="00387D65">
      <w:pPr>
        <w:autoSpaceDE w:val="0"/>
        <w:autoSpaceDN w:val="0"/>
        <w:adjustRightInd w:val="0"/>
        <w:spacing w:after="0" w:line="240" w:lineRule="auto"/>
        <w:contextualSpacing/>
        <w:jc w:val="both"/>
        <w:rPr>
          <w:rFonts w:ascii="Arial" w:hAnsi="Arial" w:cs="Arial"/>
        </w:rPr>
      </w:pPr>
    </w:p>
    <w:p w14:paraId="46E8D087" w14:textId="078E7A08" w:rsidR="0055222A" w:rsidRDefault="0055222A" w:rsidP="00387D65">
      <w:pPr>
        <w:spacing w:after="0" w:line="240" w:lineRule="auto"/>
        <w:ind w:right="22"/>
        <w:contextualSpacing/>
        <w:jc w:val="both"/>
        <w:rPr>
          <w:rFonts w:ascii="Arial" w:hAnsi="Arial" w:cs="Arial"/>
          <w:sz w:val="24"/>
          <w:szCs w:val="24"/>
        </w:rPr>
      </w:pPr>
    </w:p>
    <w:p w14:paraId="7FEC481D" w14:textId="77777777" w:rsidR="0092763F" w:rsidRPr="0043627B" w:rsidRDefault="0092763F" w:rsidP="00387D65">
      <w:pPr>
        <w:spacing w:after="0" w:line="240" w:lineRule="auto"/>
        <w:ind w:right="22"/>
        <w:contextualSpacing/>
        <w:jc w:val="both"/>
        <w:rPr>
          <w:rFonts w:ascii="Arial" w:hAnsi="Arial" w:cs="Arial"/>
          <w:sz w:val="24"/>
          <w:szCs w:val="24"/>
        </w:rPr>
      </w:pPr>
    </w:p>
    <w:p w14:paraId="6C94A9AD" w14:textId="77777777" w:rsidR="0055222A" w:rsidRPr="0043627B" w:rsidRDefault="0055222A" w:rsidP="00387D65">
      <w:pPr>
        <w:spacing w:after="0" w:line="240" w:lineRule="auto"/>
        <w:ind w:right="22"/>
        <w:contextualSpacing/>
        <w:jc w:val="both"/>
        <w:rPr>
          <w:rFonts w:ascii="Arial" w:hAnsi="Arial" w:cs="Arial"/>
          <w:sz w:val="24"/>
          <w:szCs w:val="24"/>
        </w:rPr>
      </w:pPr>
    </w:p>
    <w:p w14:paraId="1E3E46F7" w14:textId="77777777" w:rsidR="0055222A" w:rsidRPr="0043627B" w:rsidRDefault="0055222A" w:rsidP="00387D65">
      <w:pPr>
        <w:spacing w:after="0" w:line="240" w:lineRule="auto"/>
        <w:ind w:right="22"/>
        <w:contextualSpacing/>
        <w:jc w:val="both"/>
        <w:rPr>
          <w:rFonts w:ascii="Arial" w:hAnsi="Arial" w:cs="Arial"/>
          <w:sz w:val="24"/>
          <w:szCs w:val="24"/>
        </w:rPr>
      </w:pPr>
    </w:p>
    <w:p w14:paraId="5635219C" w14:textId="77777777" w:rsidR="0055222A" w:rsidRPr="00933FF8" w:rsidRDefault="00997D67" w:rsidP="00387D65">
      <w:pPr>
        <w:spacing w:after="0" w:line="240" w:lineRule="auto"/>
        <w:ind w:right="23"/>
        <w:jc w:val="center"/>
        <w:rPr>
          <w:rFonts w:ascii="Arial" w:hAnsi="Arial" w:cs="Arial"/>
        </w:rPr>
      </w:pPr>
      <w:r w:rsidRPr="00933FF8">
        <w:rPr>
          <w:rFonts w:ascii="Arial" w:hAnsi="Arial" w:cs="Arial"/>
        </w:rPr>
        <w:t>Ronald Fernández Romero</w:t>
      </w:r>
    </w:p>
    <w:p w14:paraId="4F573A22" w14:textId="214727E5" w:rsidR="0055222A" w:rsidRPr="00933FF8" w:rsidRDefault="0055222A" w:rsidP="00387D65">
      <w:pPr>
        <w:spacing w:after="0" w:line="240" w:lineRule="auto"/>
        <w:ind w:right="23"/>
        <w:jc w:val="center"/>
        <w:rPr>
          <w:rFonts w:ascii="Arial" w:hAnsi="Arial" w:cs="Arial"/>
          <w:b/>
          <w:bCs/>
        </w:rPr>
      </w:pPr>
      <w:r w:rsidRPr="00933FF8">
        <w:rPr>
          <w:rFonts w:ascii="Arial" w:hAnsi="Arial" w:cs="Arial"/>
          <w:b/>
          <w:bCs/>
        </w:rPr>
        <w:t>Directo</w:t>
      </w:r>
      <w:r w:rsidR="009D2D99" w:rsidRPr="00933FF8">
        <w:rPr>
          <w:rFonts w:ascii="Arial" w:hAnsi="Arial" w:cs="Arial"/>
          <w:b/>
          <w:bCs/>
        </w:rPr>
        <w:t>r</w:t>
      </w:r>
      <w:r w:rsidRPr="00933FF8">
        <w:rPr>
          <w:rFonts w:ascii="Arial" w:hAnsi="Arial" w:cs="Arial"/>
          <w:b/>
          <w:bCs/>
        </w:rPr>
        <w:t xml:space="preserve"> de Auditor</w:t>
      </w:r>
      <w:r w:rsidR="00790CB8">
        <w:rPr>
          <w:rFonts w:ascii="Arial" w:hAnsi="Arial" w:cs="Arial"/>
          <w:b/>
          <w:bCs/>
        </w:rPr>
        <w:t>í</w:t>
      </w:r>
      <w:bookmarkStart w:id="62" w:name="_GoBack"/>
      <w:bookmarkEnd w:id="62"/>
      <w:r w:rsidRPr="00933FF8">
        <w:rPr>
          <w:rFonts w:ascii="Arial" w:hAnsi="Arial" w:cs="Arial"/>
          <w:b/>
          <w:bCs/>
        </w:rPr>
        <w:t>a Interna</w:t>
      </w:r>
    </w:p>
    <w:p w14:paraId="605E09BC" w14:textId="77777777" w:rsidR="0055222A" w:rsidRPr="00933FF8" w:rsidRDefault="0055222A" w:rsidP="00387D65">
      <w:pPr>
        <w:spacing w:after="0" w:line="240" w:lineRule="auto"/>
        <w:ind w:right="22"/>
        <w:contextualSpacing/>
        <w:jc w:val="center"/>
        <w:rPr>
          <w:rFonts w:ascii="Arial" w:hAnsi="Arial" w:cs="Arial"/>
        </w:rPr>
      </w:pPr>
      <w:r w:rsidRPr="00933FF8">
        <w:rPr>
          <w:rFonts w:ascii="Arial" w:hAnsi="Arial" w:cs="Arial"/>
          <w:b/>
          <w:bCs/>
        </w:rPr>
        <w:t>Ministerio de Hacienda</w:t>
      </w:r>
    </w:p>
    <w:p w14:paraId="12A853E8" w14:textId="26977E1E" w:rsidR="0055222A" w:rsidRDefault="0055222A" w:rsidP="00387D65">
      <w:pPr>
        <w:spacing w:after="0" w:line="240" w:lineRule="auto"/>
        <w:ind w:right="22"/>
        <w:contextualSpacing/>
        <w:jc w:val="both"/>
        <w:rPr>
          <w:rFonts w:ascii="Arial" w:hAnsi="Arial" w:cs="Arial"/>
          <w:sz w:val="24"/>
          <w:szCs w:val="24"/>
        </w:rPr>
      </w:pPr>
    </w:p>
    <w:p w14:paraId="1CCE08DC" w14:textId="772B3C1A" w:rsidR="0092763F" w:rsidRDefault="0092763F" w:rsidP="00387D65">
      <w:pPr>
        <w:spacing w:after="0" w:line="240" w:lineRule="auto"/>
        <w:ind w:right="22"/>
        <w:contextualSpacing/>
        <w:jc w:val="both"/>
        <w:rPr>
          <w:rFonts w:ascii="Arial" w:hAnsi="Arial" w:cs="Arial"/>
          <w:sz w:val="24"/>
          <w:szCs w:val="24"/>
        </w:rPr>
      </w:pPr>
    </w:p>
    <w:p w14:paraId="50ADB82A" w14:textId="77777777" w:rsidR="009C39C8" w:rsidRDefault="009C39C8" w:rsidP="00387D65">
      <w:pPr>
        <w:spacing w:after="0" w:line="240" w:lineRule="auto"/>
        <w:ind w:right="22"/>
        <w:contextualSpacing/>
        <w:jc w:val="both"/>
        <w:rPr>
          <w:rFonts w:ascii="Arial" w:hAnsi="Arial" w:cs="Arial"/>
          <w:sz w:val="24"/>
          <w:szCs w:val="24"/>
        </w:rPr>
      </w:pPr>
    </w:p>
    <w:p w14:paraId="5EA7A041" w14:textId="77777777" w:rsidR="00A35947" w:rsidRDefault="00A35947" w:rsidP="00387D65">
      <w:pPr>
        <w:spacing w:after="0" w:line="240" w:lineRule="auto"/>
        <w:ind w:right="22"/>
        <w:contextualSpacing/>
        <w:jc w:val="both"/>
        <w:rPr>
          <w:rFonts w:ascii="Arial" w:hAnsi="Arial" w:cs="Arial"/>
          <w:sz w:val="24"/>
          <w:szCs w:val="24"/>
        </w:rPr>
      </w:pPr>
    </w:p>
    <w:p w14:paraId="5FBBC78F" w14:textId="77777777" w:rsidR="00A35947" w:rsidRDefault="00A35947" w:rsidP="00387D65">
      <w:pPr>
        <w:spacing w:after="0" w:line="240" w:lineRule="auto"/>
        <w:ind w:right="22"/>
        <w:contextualSpacing/>
        <w:jc w:val="both"/>
        <w:rPr>
          <w:rFonts w:ascii="Arial" w:hAnsi="Arial" w:cs="Arial"/>
          <w:sz w:val="24"/>
          <w:szCs w:val="24"/>
        </w:rPr>
      </w:pPr>
    </w:p>
    <w:tbl>
      <w:tblPr>
        <w:tblW w:w="4504" w:type="pct"/>
        <w:jc w:val="center"/>
        <w:tblLook w:val="01E0" w:firstRow="1" w:lastRow="1" w:firstColumn="1" w:lastColumn="1" w:noHBand="0" w:noVBand="0"/>
      </w:tblPr>
      <w:tblGrid>
        <w:gridCol w:w="3896"/>
        <w:gridCol w:w="4065"/>
      </w:tblGrid>
      <w:tr w:rsidR="00AE6EB5" w:rsidRPr="00D974B5" w14:paraId="27E793C9" w14:textId="77777777" w:rsidTr="00AE6EB5">
        <w:trPr>
          <w:trHeight w:val="913"/>
          <w:jc w:val="center"/>
        </w:trPr>
        <w:tc>
          <w:tcPr>
            <w:tcW w:w="2447" w:type="pct"/>
            <w:vAlign w:val="center"/>
            <w:hideMark/>
          </w:tcPr>
          <w:p w14:paraId="41E3B302" w14:textId="77777777" w:rsidR="00AE6EB5" w:rsidRPr="00D974B5" w:rsidRDefault="00AE6EB5" w:rsidP="0085163D">
            <w:pPr>
              <w:spacing w:after="0" w:line="240" w:lineRule="auto"/>
              <w:ind w:left="-923" w:right="23"/>
              <w:jc w:val="center"/>
              <w:rPr>
                <w:rFonts w:ascii="Arial" w:hAnsi="Arial" w:cs="Arial"/>
              </w:rPr>
            </w:pPr>
            <w:r w:rsidRPr="00D974B5">
              <w:rPr>
                <w:rFonts w:ascii="Arial" w:hAnsi="Arial" w:cs="Arial"/>
              </w:rPr>
              <w:t>Gu</w:t>
            </w:r>
            <w:r>
              <w:rPr>
                <w:rFonts w:ascii="Arial" w:hAnsi="Arial" w:cs="Arial"/>
              </w:rPr>
              <w:t>iselle Retana Corrales</w:t>
            </w:r>
          </w:p>
          <w:p w14:paraId="57572972" w14:textId="77777777" w:rsidR="00AE6EB5" w:rsidRPr="00D974B5" w:rsidRDefault="00AE6EB5" w:rsidP="0085163D">
            <w:pPr>
              <w:spacing w:after="0" w:line="240" w:lineRule="auto"/>
              <w:ind w:left="-297" w:right="22"/>
              <w:jc w:val="center"/>
              <w:rPr>
                <w:rFonts w:ascii="Arial" w:hAnsi="Arial" w:cs="Arial"/>
                <w:b/>
              </w:rPr>
            </w:pPr>
            <w:r w:rsidRPr="00D974B5">
              <w:rPr>
                <w:rFonts w:ascii="Arial" w:hAnsi="Arial" w:cs="Arial"/>
                <w:b/>
              </w:rPr>
              <w:t xml:space="preserve">Profesional de Auditoría Interna </w:t>
            </w:r>
            <w:r>
              <w:rPr>
                <w:rFonts w:ascii="Arial" w:hAnsi="Arial" w:cs="Arial"/>
                <w:b/>
              </w:rPr>
              <w:t>2</w:t>
            </w:r>
          </w:p>
        </w:tc>
        <w:tc>
          <w:tcPr>
            <w:tcW w:w="2553" w:type="pct"/>
            <w:vAlign w:val="center"/>
            <w:hideMark/>
          </w:tcPr>
          <w:p w14:paraId="45DDCC76" w14:textId="77777777" w:rsidR="00AE6EB5" w:rsidRPr="00D974B5" w:rsidRDefault="00AE6EB5" w:rsidP="0085163D">
            <w:pPr>
              <w:spacing w:after="0" w:line="240" w:lineRule="auto"/>
              <w:ind w:right="23"/>
              <w:jc w:val="center"/>
              <w:rPr>
                <w:rFonts w:ascii="Arial" w:hAnsi="Arial" w:cs="Arial"/>
              </w:rPr>
            </w:pPr>
            <w:r w:rsidRPr="00D974B5">
              <w:rPr>
                <w:rFonts w:ascii="Arial" w:hAnsi="Arial" w:cs="Arial"/>
              </w:rPr>
              <w:t>Natalia Mora Sánchez</w:t>
            </w:r>
          </w:p>
          <w:p w14:paraId="68F9A0BC" w14:textId="77777777" w:rsidR="00AE6EB5" w:rsidRDefault="00AE6EB5" w:rsidP="0085163D">
            <w:pPr>
              <w:spacing w:after="0" w:line="240" w:lineRule="auto"/>
              <w:ind w:right="22"/>
              <w:jc w:val="center"/>
              <w:rPr>
                <w:rFonts w:ascii="Arial" w:hAnsi="Arial" w:cs="Arial"/>
                <w:b/>
              </w:rPr>
            </w:pPr>
            <w:r w:rsidRPr="00D974B5">
              <w:rPr>
                <w:rFonts w:ascii="Arial" w:hAnsi="Arial" w:cs="Arial"/>
                <w:b/>
              </w:rPr>
              <w:t>Coordinador</w:t>
            </w:r>
            <w:r>
              <w:rPr>
                <w:rFonts w:ascii="Arial" w:hAnsi="Arial" w:cs="Arial"/>
                <w:b/>
              </w:rPr>
              <w:t>a</w:t>
            </w:r>
            <w:r w:rsidRPr="00D974B5">
              <w:rPr>
                <w:rFonts w:ascii="Arial" w:hAnsi="Arial" w:cs="Arial"/>
                <w:b/>
              </w:rPr>
              <w:t xml:space="preserve"> </w:t>
            </w:r>
            <w:r>
              <w:rPr>
                <w:rFonts w:ascii="Arial" w:hAnsi="Arial" w:cs="Arial"/>
                <w:b/>
              </w:rPr>
              <w:t>Unidad</w:t>
            </w:r>
            <w:r w:rsidRPr="00D974B5">
              <w:rPr>
                <w:rFonts w:ascii="Arial" w:hAnsi="Arial" w:cs="Arial"/>
                <w:b/>
              </w:rPr>
              <w:t xml:space="preserve"> </w:t>
            </w:r>
            <w:r>
              <w:rPr>
                <w:rFonts w:ascii="Arial" w:hAnsi="Arial" w:cs="Arial"/>
                <w:b/>
              </w:rPr>
              <w:t xml:space="preserve">de </w:t>
            </w:r>
            <w:r w:rsidRPr="00D974B5">
              <w:rPr>
                <w:rFonts w:ascii="Arial" w:hAnsi="Arial" w:cs="Arial"/>
                <w:b/>
              </w:rPr>
              <w:t>Auditoría</w:t>
            </w:r>
          </w:p>
          <w:p w14:paraId="4B982C48" w14:textId="77777777" w:rsidR="00AE6EB5" w:rsidRPr="00D974B5" w:rsidRDefault="00AE6EB5" w:rsidP="0085163D">
            <w:pPr>
              <w:spacing w:after="0" w:line="240" w:lineRule="auto"/>
              <w:ind w:right="22"/>
              <w:jc w:val="center"/>
              <w:rPr>
                <w:rFonts w:ascii="Arial" w:hAnsi="Arial" w:cs="Arial"/>
              </w:rPr>
            </w:pPr>
            <w:r w:rsidRPr="00D974B5">
              <w:rPr>
                <w:rFonts w:ascii="Arial" w:hAnsi="Arial" w:cs="Arial"/>
                <w:b/>
              </w:rPr>
              <w:t>Estudios Especiales</w:t>
            </w:r>
          </w:p>
        </w:tc>
      </w:tr>
    </w:tbl>
    <w:p w14:paraId="7A1D4063" w14:textId="77777777" w:rsidR="00A35947" w:rsidRDefault="00A35947" w:rsidP="00387D65">
      <w:pPr>
        <w:spacing w:after="0" w:line="240" w:lineRule="auto"/>
        <w:ind w:right="22"/>
        <w:contextualSpacing/>
        <w:jc w:val="both"/>
        <w:rPr>
          <w:rFonts w:ascii="Arial" w:hAnsi="Arial" w:cs="Arial"/>
          <w:sz w:val="24"/>
          <w:szCs w:val="24"/>
        </w:rPr>
      </w:pPr>
    </w:p>
    <w:p w14:paraId="4F3C02E9" w14:textId="77777777" w:rsidR="00387D65" w:rsidRDefault="00387D65" w:rsidP="00387D65">
      <w:pPr>
        <w:spacing w:after="0" w:line="240" w:lineRule="auto"/>
        <w:ind w:right="23"/>
        <w:contextualSpacing/>
        <w:rPr>
          <w:rFonts w:ascii="Arial" w:hAnsi="Arial" w:cs="Arial"/>
          <w:sz w:val="18"/>
        </w:rPr>
      </w:pPr>
    </w:p>
    <w:p w14:paraId="4C4882AE" w14:textId="77777777" w:rsidR="00387D65" w:rsidRDefault="00387D65" w:rsidP="00387D65">
      <w:pPr>
        <w:spacing w:after="0" w:line="240" w:lineRule="auto"/>
        <w:ind w:right="23"/>
        <w:contextualSpacing/>
        <w:rPr>
          <w:rFonts w:ascii="Arial" w:hAnsi="Arial" w:cs="Arial"/>
          <w:sz w:val="18"/>
        </w:rPr>
      </w:pPr>
    </w:p>
    <w:p w14:paraId="14CA257B" w14:textId="28493936" w:rsidR="004571AE" w:rsidRDefault="004571AE" w:rsidP="00387D65">
      <w:pPr>
        <w:spacing w:after="0" w:line="240" w:lineRule="auto"/>
        <w:ind w:right="23"/>
        <w:contextualSpacing/>
        <w:rPr>
          <w:rFonts w:ascii="Arial" w:hAnsi="Arial" w:cs="Arial"/>
          <w:sz w:val="18"/>
        </w:rPr>
      </w:pPr>
      <w:r w:rsidRPr="004571AE">
        <w:rPr>
          <w:rFonts w:ascii="Arial" w:hAnsi="Arial" w:cs="Arial"/>
          <w:sz w:val="18"/>
        </w:rPr>
        <w:t>C:</w:t>
      </w:r>
      <w:r w:rsidR="00FD0B7A">
        <w:rPr>
          <w:rFonts w:ascii="Arial" w:hAnsi="Arial" w:cs="Arial"/>
          <w:sz w:val="18"/>
        </w:rPr>
        <w:tab/>
      </w:r>
      <w:r w:rsidRPr="004571AE">
        <w:rPr>
          <w:rFonts w:ascii="Arial" w:hAnsi="Arial" w:cs="Arial"/>
          <w:sz w:val="18"/>
        </w:rPr>
        <w:t>Sr. Nogui Acosta Jaén, Ministro de Hacienda</w:t>
      </w:r>
      <w:r w:rsidR="00E25242">
        <w:rPr>
          <w:rFonts w:ascii="Arial" w:hAnsi="Arial" w:cs="Arial"/>
          <w:sz w:val="18"/>
        </w:rPr>
        <w:t>.</w:t>
      </w:r>
    </w:p>
    <w:p w14:paraId="32BE950F" w14:textId="237BAB8C" w:rsidR="00E25242" w:rsidRDefault="00E25242" w:rsidP="00FD0B7A">
      <w:pPr>
        <w:spacing w:after="0" w:line="240" w:lineRule="auto"/>
        <w:ind w:right="23" w:firstLine="708"/>
        <w:contextualSpacing/>
        <w:rPr>
          <w:rFonts w:ascii="Arial" w:hAnsi="Arial" w:cs="Arial"/>
          <w:sz w:val="18"/>
        </w:rPr>
      </w:pPr>
      <w:r>
        <w:rPr>
          <w:rFonts w:ascii="Arial" w:hAnsi="Arial" w:cs="Arial"/>
          <w:sz w:val="18"/>
        </w:rPr>
        <w:t>Sra. Priscilla Zamora Rojas, Viceministra de Ingresos.</w:t>
      </w:r>
    </w:p>
    <w:p w14:paraId="5A70D115" w14:textId="11774229" w:rsidR="00027029" w:rsidRPr="004571AE" w:rsidRDefault="00027029" w:rsidP="00FD0B7A">
      <w:pPr>
        <w:spacing w:after="0" w:line="240" w:lineRule="auto"/>
        <w:ind w:right="23" w:firstLine="708"/>
        <w:contextualSpacing/>
        <w:rPr>
          <w:rFonts w:ascii="Arial" w:hAnsi="Arial" w:cs="Arial"/>
          <w:sz w:val="18"/>
        </w:rPr>
      </w:pPr>
      <w:bookmarkStart w:id="63" w:name="_Hlk122356470"/>
      <w:r w:rsidRPr="00027029">
        <w:rPr>
          <w:rFonts w:ascii="Arial" w:hAnsi="Arial" w:cs="Arial"/>
          <w:sz w:val="18"/>
        </w:rPr>
        <w:t>Sr. Vladimir Villalobos G</w:t>
      </w:r>
      <w:r>
        <w:rPr>
          <w:rFonts w:ascii="Arial" w:hAnsi="Arial" w:cs="Arial"/>
          <w:sz w:val="18"/>
        </w:rPr>
        <w:t>onzález</w:t>
      </w:r>
      <w:r w:rsidRPr="00027029">
        <w:rPr>
          <w:rFonts w:ascii="Arial" w:hAnsi="Arial" w:cs="Arial"/>
          <w:sz w:val="18"/>
        </w:rPr>
        <w:t xml:space="preserve">, Jefe </w:t>
      </w:r>
      <w:r>
        <w:rPr>
          <w:rFonts w:ascii="Arial" w:hAnsi="Arial" w:cs="Arial"/>
          <w:sz w:val="18"/>
        </w:rPr>
        <w:t xml:space="preserve">de </w:t>
      </w:r>
      <w:r w:rsidRPr="00027029">
        <w:rPr>
          <w:rFonts w:ascii="Arial" w:hAnsi="Arial" w:cs="Arial"/>
          <w:sz w:val="18"/>
        </w:rPr>
        <w:t>Despacho.</w:t>
      </w:r>
    </w:p>
    <w:bookmarkEnd w:id="63"/>
    <w:p w14:paraId="2A0C921D" w14:textId="77777777" w:rsidR="004571AE" w:rsidRPr="00E52F90" w:rsidRDefault="004571AE" w:rsidP="00FD0B7A">
      <w:pPr>
        <w:spacing w:after="0" w:line="240" w:lineRule="auto"/>
        <w:ind w:right="23" w:firstLine="708"/>
        <w:contextualSpacing/>
        <w:rPr>
          <w:rFonts w:ascii="Arial" w:hAnsi="Arial" w:cs="Arial"/>
          <w:sz w:val="18"/>
        </w:rPr>
      </w:pPr>
      <w:r w:rsidRPr="00E52F90">
        <w:rPr>
          <w:rFonts w:ascii="Arial" w:hAnsi="Arial" w:cs="Arial"/>
          <w:sz w:val="18"/>
        </w:rPr>
        <w:t>Estudio Nº 0</w:t>
      </w:r>
      <w:r>
        <w:rPr>
          <w:rFonts w:ascii="Arial" w:hAnsi="Arial" w:cs="Arial"/>
          <w:sz w:val="18"/>
        </w:rPr>
        <w:t>07</w:t>
      </w:r>
      <w:r w:rsidRPr="00E52F90">
        <w:rPr>
          <w:rFonts w:ascii="Arial" w:hAnsi="Arial" w:cs="Arial"/>
          <w:sz w:val="18"/>
        </w:rPr>
        <w:t>-2022</w:t>
      </w:r>
    </w:p>
    <w:p w14:paraId="3F4E1F61" w14:textId="77777777" w:rsidR="004571AE" w:rsidRDefault="004571AE" w:rsidP="00FD0B7A">
      <w:pPr>
        <w:spacing w:after="0" w:line="240" w:lineRule="auto"/>
        <w:ind w:right="23" w:firstLine="708"/>
        <w:contextualSpacing/>
        <w:rPr>
          <w:rFonts w:ascii="Arial" w:hAnsi="Arial" w:cs="Arial"/>
          <w:sz w:val="18"/>
        </w:rPr>
      </w:pPr>
      <w:r w:rsidRPr="005C4DAD">
        <w:rPr>
          <w:rFonts w:ascii="Arial" w:hAnsi="Arial" w:cs="Arial"/>
          <w:sz w:val="18"/>
        </w:rPr>
        <w:t xml:space="preserve">Criterio N° </w:t>
      </w:r>
      <w:r w:rsidR="00BA6D4A" w:rsidRPr="005C4DAD">
        <w:rPr>
          <w:rFonts w:ascii="Arial" w:hAnsi="Arial" w:cs="Arial"/>
          <w:sz w:val="18"/>
        </w:rPr>
        <w:t>90</w:t>
      </w:r>
      <w:r w:rsidRPr="005C4DAD">
        <w:rPr>
          <w:rFonts w:ascii="Arial" w:hAnsi="Arial" w:cs="Arial"/>
          <w:sz w:val="18"/>
        </w:rPr>
        <w:t xml:space="preserve">-. </w:t>
      </w:r>
      <w:r w:rsidR="0040799C" w:rsidRPr="005C4DAD">
        <w:rPr>
          <w:rFonts w:ascii="Arial" w:hAnsi="Arial" w:cs="Arial"/>
          <w:sz w:val="18"/>
        </w:rPr>
        <w:t>Dirección</w:t>
      </w:r>
      <w:r w:rsidR="0040799C">
        <w:rPr>
          <w:rFonts w:ascii="Arial" w:hAnsi="Arial" w:cs="Arial"/>
          <w:sz w:val="18"/>
        </w:rPr>
        <w:t xml:space="preserve"> General de Hacienda. Cobro Judicial</w:t>
      </w:r>
    </w:p>
    <w:p w14:paraId="33169299" w14:textId="77777777" w:rsidR="004571AE" w:rsidRDefault="004571AE" w:rsidP="00387D65">
      <w:pPr>
        <w:spacing w:after="0" w:line="240" w:lineRule="auto"/>
        <w:ind w:right="23"/>
        <w:contextualSpacing/>
        <w:jc w:val="both"/>
        <w:rPr>
          <w:rFonts w:ascii="Arial" w:hAnsi="Arial" w:cs="Arial"/>
        </w:rPr>
      </w:pPr>
    </w:p>
    <w:p w14:paraId="0402C091" w14:textId="77777777" w:rsidR="0055222A" w:rsidRPr="0043627B" w:rsidRDefault="0055222A" w:rsidP="0043627B">
      <w:pPr>
        <w:spacing w:after="0" w:line="276" w:lineRule="auto"/>
        <w:rPr>
          <w:rFonts w:ascii="Arial" w:hAnsi="Arial" w:cs="Arial"/>
          <w:sz w:val="24"/>
          <w:szCs w:val="24"/>
        </w:rPr>
      </w:pPr>
    </w:p>
    <w:p w14:paraId="78A22B00" w14:textId="77777777" w:rsidR="00F62262" w:rsidRDefault="00F62262">
      <w:pPr>
        <w:rPr>
          <w:rFonts w:ascii="Arial" w:eastAsiaTheme="majorEastAsia" w:hAnsi="Arial" w:cs="Arial"/>
          <w:b/>
          <w:bCs/>
          <w:color w:val="44546A" w:themeColor="text2"/>
          <w:kern w:val="28"/>
          <w:sz w:val="24"/>
          <w:szCs w:val="24"/>
          <w:lang w:eastAsia="es-ES"/>
        </w:rPr>
      </w:pPr>
      <w:bookmarkStart w:id="64" w:name="_Toc118798821"/>
      <w:r>
        <w:rPr>
          <w:rFonts w:ascii="Arial" w:hAnsi="Arial" w:cs="Arial"/>
          <w:b/>
          <w:bCs/>
          <w:color w:val="44546A" w:themeColor="text2"/>
          <w:kern w:val="28"/>
          <w:sz w:val="24"/>
          <w:szCs w:val="24"/>
          <w:lang w:eastAsia="es-ES"/>
        </w:rPr>
        <w:br w:type="page"/>
      </w:r>
    </w:p>
    <w:p w14:paraId="0058A547" w14:textId="77777777" w:rsidR="004571AE" w:rsidRPr="00BB6CF3" w:rsidRDefault="004571AE" w:rsidP="004571AE">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65" w:name="_Toc119920112"/>
      <w:r w:rsidRPr="00BB6CF3">
        <w:rPr>
          <w:rFonts w:ascii="Arial" w:hAnsi="Arial" w:cs="Arial"/>
          <w:b/>
          <w:bCs/>
          <w:color w:val="44546A" w:themeColor="text2"/>
          <w:kern w:val="28"/>
          <w:sz w:val="24"/>
          <w:szCs w:val="24"/>
          <w:lang w:eastAsia="es-ES"/>
        </w:rPr>
        <w:lastRenderedPageBreak/>
        <w:t>ANEXO N°1</w:t>
      </w:r>
      <w:bookmarkEnd w:id="64"/>
      <w:bookmarkEnd w:id="65"/>
    </w:p>
    <w:p w14:paraId="63C93516" w14:textId="77777777" w:rsidR="004571AE" w:rsidRPr="00BB6CF3" w:rsidRDefault="004571AE" w:rsidP="004571AE">
      <w:pPr>
        <w:autoSpaceDE w:val="0"/>
        <w:autoSpaceDN w:val="0"/>
        <w:adjustRightInd w:val="0"/>
        <w:spacing w:after="0"/>
        <w:jc w:val="center"/>
        <w:rPr>
          <w:rFonts w:ascii="Arial" w:eastAsiaTheme="minorEastAsia" w:hAnsi="Arial" w:cs="Arial"/>
          <w:b/>
          <w:bCs/>
          <w:color w:val="44546A" w:themeColor="text2"/>
          <w:sz w:val="24"/>
          <w:lang w:eastAsia="es-ES"/>
        </w:rPr>
      </w:pPr>
      <w:r w:rsidRPr="00BB6CF3">
        <w:rPr>
          <w:rFonts w:ascii="Arial" w:eastAsiaTheme="minorEastAsia" w:hAnsi="Arial" w:cs="Arial"/>
          <w:b/>
          <w:bCs/>
          <w:color w:val="44546A" w:themeColor="text2"/>
          <w:sz w:val="24"/>
          <w:lang w:eastAsia="es-ES"/>
        </w:rPr>
        <w:t>COMENTARIOS RECIBIDOS DURANTE LA COMUNICACIÓN DE RESULTADOS</w:t>
      </w:r>
    </w:p>
    <w:p w14:paraId="390671D9" w14:textId="77777777" w:rsidR="004571AE" w:rsidRPr="00A5000E" w:rsidRDefault="004571AE" w:rsidP="004571AE">
      <w:pPr>
        <w:autoSpaceDE w:val="0"/>
        <w:autoSpaceDN w:val="0"/>
        <w:adjustRightInd w:val="0"/>
        <w:spacing w:after="0"/>
        <w:jc w:val="center"/>
        <w:rPr>
          <w:rFonts w:ascii="Arial" w:eastAsiaTheme="minorEastAsia" w:hAnsi="Arial" w:cs="Arial"/>
          <w:b/>
          <w:bCs/>
          <w:color w:val="44546A" w:themeColor="text2"/>
          <w:lang w:eastAsia="es-ES"/>
        </w:rPr>
      </w:pPr>
    </w:p>
    <w:tbl>
      <w:tblPr>
        <w:tblW w:w="0" w:type="auto"/>
        <w:tblCellMar>
          <w:left w:w="0" w:type="dxa"/>
          <w:right w:w="0" w:type="dxa"/>
        </w:tblCellMar>
        <w:tblLook w:val="04A0" w:firstRow="1" w:lastRow="0" w:firstColumn="1" w:lastColumn="0" w:noHBand="0" w:noVBand="1"/>
      </w:tblPr>
      <w:tblGrid>
        <w:gridCol w:w="4411"/>
        <w:gridCol w:w="4407"/>
      </w:tblGrid>
      <w:tr w:rsidR="004571AE" w:rsidRPr="00A5000E" w14:paraId="4AD41E93" w14:textId="77777777" w:rsidTr="007252AB">
        <w:trPr>
          <w:trHeight w:val="548"/>
          <w:tblHeader/>
        </w:trPr>
        <w:tc>
          <w:tcPr>
            <w:tcW w:w="4411" w:type="dxa"/>
            <w:tcBorders>
              <w:top w:val="single" w:sz="8" w:space="0" w:color="000000"/>
              <w:left w:val="single" w:sz="8" w:space="0" w:color="000000"/>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474A666D" w14:textId="77777777" w:rsidR="004571AE" w:rsidRPr="007D03C1" w:rsidRDefault="004571AE" w:rsidP="007252AB">
            <w:pPr>
              <w:spacing w:after="0"/>
              <w:jc w:val="center"/>
              <w:rPr>
                <w:rFonts w:ascii="Arial" w:eastAsiaTheme="minorEastAsia" w:hAnsi="Arial" w:cs="Arial"/>
                <w:b/>
                <w:bCs/>
                <w:color w:val="FFFFFF" w:themeColor="background1"/>
                <w:lang w:eastAsia="es-CR"/>
              </w:rPr>
            </w:pPr>
            <w:r w:rsidRPr="007D03C1">
              <w:rPr>
                <w:rFonts w:ascii="Arial" w:eastAsiaTheme="minorEastAsia" w:hAnsi="Arial" w:cs="Arial"/>
                <w:b/>
                <w:bCs/>
                <w:color w:val="FFFFFF" w:themeColor="background1"/>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0C484036" w14:textId="77777777" w:rsidR="004571AE" w:rsidRPr="007D03C1" w:rsidRDefault="004571AE" w:rsidP="007252AB">
            <w:pPr>
              <w:spacing w:after="0"/>
              <w:jc w:val="center"/>
              <w:rPr>
                <w:rFonts w:ascii="Arial" w:eastAsia="Calibri" w:hAnsi="Arial" w:cs="Arial"/>
                <w:b/>
                <w:bCs/>
                <w:color w:val="FFFFFF" w:themeColor="background1"/>
                <w:lang w:eastAsia="es-CR"/>
              </w:rPr>
            </w:pPr>
            <w:r w:rsidRPr="007D03C1">
              <w:rPr>
                <w:rFonts w:ascii="Arial" w:eastAsiaTheme="minorEastAsia" w:hAnsi="Arial" w:cs="Arial"/>
                <w:b/>
                <w:bCs/>
                <w:color w:val="FFFFFF" w:themeColor="background1"/>
                <w:lang w:eastAsia="es-CR"/>
              </w:rPr>
              <w:t>Valoración</w:t>
            </w:r>
          </w:p>
        </w:tc>
      </w:tr>
      <w:tr w:rsidR="004571AE" w:rsidRPr="00A5000E" w14:paraId="1345A7CB" w14:textId="77777777" w:rsidTr="007252AB">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A5C7C4" w14:textId="5CC1724A" w:rsidR="004571AE" w:rsidRPr="00A5000E" w:rsidRDefault="0046401D" w:rsidP="00106B63">
            <w:pPr>
              <w:autoSpaceDE w:val="0"/>
              <w:autoSpaceDN w:val="0"/>
              <w:adjustRightInd w:val="0"/>
              <w:spacing w:after="0"/>
              <w:jc w:val="both"/>
              <w:rPr>
                <w:rFonts w:ascii="Arial" w:hAnsi="Arial" w:cs="Arial"/>
                <w:color w:val="000000"/>
              </w:rPr>
            </w:pPr>
            <w:r>
              <w:rPr>
                <w:rFonts w:ascii="Arial" w:hAnsi="Arial" w:cs="Arial"/>
                <w:color w:val="000000"/>
              </w:rPr>
              <w:t xml:space="preserve">Por parte de la División de Adeudos </w:t>
            </w:r>
            <w:r w:rsidR="00106B63">
              <w:rPr>
                <w:rFonts w:ascii="Arial" w:hAnsi="Arial" w:cs="Arial"/>
                <w:color w:val="000000"/>
              </w:rPr>
              <w:t xml:space="preserve">Estatales, manifestaron los </w:t>
            </w:r>
            <w:r w:rsidR="00500D4F">
              <w:rPr>
                <w:rFonts w:ascii="Arial" w:hAnsi="Arial" w:cs="Arial"/>
                <w:color w:val="000000"/>
              </w:rPr>
              <w:t>participantes</w:t>
            </w:r>
            <w:r w:rsidR="00106B63">
              <w:rPr>
                <w:rFonts w:ascii="Arial" w:hAnsi="Arial" w:cs="Arial"/>
                <w:color w:val="000000"/>
              </w:rPr>
              <w:t xml:space="preserve"> preocupación radica por los plazos otorgados para el cumplimiento de lo recomendado en</w:t>
            </w:r>
            <w:r w:rsidR="00106B63">
              <w:rPr>
                <w:rFonts w:ascii="Arial" w:hAnsi="Arial" w:cs="Arial"/>
              </w:rPr>
              <w:t xml:space="preserve"> especial lo que tiene que ver con</w:t>
            </w:r>
            <w:r w:rsidR="00106B63">
              <w:rPr>
                <w:rFonts w:ascii="Arial" w:hAnsi="Arial" w:cs="Arial"/>
                <w:color w:val="000000"/>
              </w:rPr>
              <w:t xml:space="preserve"> procedimientos por tener que presentarse a la DIPI para revisión y aprobación.  El plazo se había planteado para el </w:t>
            </w:r>
            <w:r w:rsidR="00500D4F">
              <w:rPr>
                <w:rFonts w:ascii="Arial" w:hAnsi="Arial" w:cs="Arial"/>
                <w:color w:val="000000"/>
              </w:rPr>
              <w:t>31 de marzo de 2023.</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0ED864A" w14:textId="1543306E" w:rsidR="004571AE" w:rsidRPr="00A5000E" w:rsidRDefault="0046401D" w:rsidP="00106B63">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La Auditoría Interna, una vez plantead</w:t>
            </w:r>
            <w:r w:rsidR="00040E4D">
              <w:rPr>
                <w:rFonts w:ascii="Arial" w:hAnsi="Arial" w:cs="Arial"/>
                <w:bCs/>
                <w:color w:val="000000"/>
                <w:lang w:eastAsia="es-CR"/>
              </w:rPr>
              <w:t>as</w:t>
            </w:r>
            <w:r w:rsidR="00106B63" w:rsidRPr="00040E4D">
              <w:rPr>
                <w:rFonts w:ascii="Arial" w:hAnsi="Arial" w:cs="Arial"/>
                <w:bCs/>
                <w:lang w:eastAsia="es-CR"/>
              </w:rPr>
              <w:t xml:space="preserve"> las razones que p</w:t>
            </w:r>
            <w:r w:rsidR="00500D4F">
              <w:rPr>
                <w:rFonts w:ascii="Arial" w:hAnsi="Arial" w:cs="Arial"/>
                <w:bCs/>
                <w:lang w:eastAsia="es-CR"/>
              </w:rPr>
              <w:t>odrían dificultar</w:t>
            </w:r>
            <w:r w:rsidR="00106B63" w:rsidRPr="00040E4D">
              <w:rPr>
                <w:rFonts w:ascii="Arial" w:hAnsi="Arial" w:cs="Arial"/>
                <w:bCs/>
                <w:lang w:eastAsia="es-CR"/>
              </w:rPr>
              <w:t xml:space="preserve"> el</w:t>
            </w:r>
            <w:r w:rsidR="00106B63">
              <w:rPr>
                <w:rFonts w:ascii="Arial" w:hAnsi="Arial" w:cs="Arial"/>
                <w:color w:val="000000"/>
              </w:rPr>
              <w:t xml:space="preserve"> cumplimiento de lo recomendado según el plazo establecido, amplía el plazo para </w:t>
            </w:r>
            <w:r w:rsidR="00500D4F">
              <w:rPr>
                <w:rFonts w:ascii="Arial" w:hAnsi="Arial" w:cs="Arial"/>
                <w:color w:val="000000"/>
              </w:rPr>
              <w:t xml:space="preserve">el cumplimiento de las </w:t>
            </w:r>
            <w:r w:rsidR="00106B63">
              <w:rPr>
                <w:rFonts w:ascii="Arial" w:hAnsi="Arial" w:cs="Arial"/>
                <w:color w:val="000000"/>
              </w:rPr>
              <w:t>recomendaciones relacionadas con procedimientos al 30 de junio 2023.</w:t>
            </w:r>
          </w:p>
        </w:tc>
      </w:tr>
      <w:tr w:rsidR="00106B63" w:rsidRPr="00A5000E" w14:paraId="2816C5E6" w14:textId="77777777" w:rsidTr="00040E4D">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42C13A" w14:textId="4864A447" w:rsidR="00106B63" w:rsidRPr="00A5000E" w:rsidRDefault="00106B63" w:rsidP="00106B63">
            <w:pPr>
              <w:autoSpaceDE w:val="0"/>
              <w:autoSpaceDN w:val="0"/>
              <w:adjustRightInd w:val="0"/>
              <w:spacing w:after="0"/>
              <w:jc w:val="both"/>
              <w:rPr>
                <w:rFonts w:ascii="Arial" w:hAnsi="Arial" w:cs="Arial"/>
                <w:color w:val="000000"/>
              </w:rPr>
            </w:pPr>
            <w:r>
              <w:rPr>
                <w:rFonts w:ascii="Arial" w:hAnsi="Arial" w:cs="Arial"/>
                <w:color w:val="000000"/>
              </w:rPr>
              <w:t>El otro plazo que se solicita se amplíe es</w:t>
            </w:r>
            <w:r>
              <w:rPr>
                <w:rFonts w:ascii="Arial" w:hAnsi="Arial" w:cs="Arial"/>
              </w:rPr>
              <w:t xml:space="preserve"> </w:t>
            </w:r>
            <w:r>
              <w:rPr>
                <w:rFonts w:ascii="Arial" w:hAnsi="Arial" w:cs="Arial"/>
                <w:iCs/>
                <w:color w:val="000000"/>
              </w:rPr>
              <w:t xml:space="preserve">el </w:t>
            </w:r>
            <w:r w:rsidR="00500D4F">
              <w:rPr>
                <w:rFonts w:ascii="Arial" w:hAnsi="Arial" w:cs="Arial"/>
                <w:iCs/>
                <w:color w:val="000000"/>
              </w:rPr>
              <w:t xml:space="preserve">de la recomendación 4.5, </w:t>
            </w:r>
            <w:r>
              <w:rPr>
                <w:rFonts w:ascii="Arial" w:hAnsi="Arial" w:cs="Arial"/>
                <w:iCs/>
                <w:color w:val="000000"/>
              </w:rPr>
              <w:t>relacionad</w:t>
            </w:r>
            <w:r w:rsidR="00500D4F">
              <w:rPr>
                <w:rFonts w:ascii="Arial" w:hAnsi="Arial" w:cs="Arial"/>
                <w:iCs/>
                <w:color w:val="000000"/>
              </w:rPr>
              <w:t>a</w:t>
            </w:r>
            <w:r>
              <w:rPr>
                <w:rFonts w:ascii="Arial" w:hAnsi="Arial" w:cs="Arial"/>
                <w:iCs/>
                <w:color w:val="000000"/>
              </w:rPr>
              <w:t xml:space="preserve"> con los 1282 y 1468 </w:t>
            </w:r>
            <w:r>
              <w:rPr>
                <w:rFonts w:ascii="Arial" w:hAnsi="Arial" w:cs="Arial"/>
              </w:rPr>
              <w:t>expedientes.</w:t>
            </w:r>
          </w:p>
        </w:tc>
        <w:tc>
          <w:tcPr>
            <w:tcW w:w="440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5FBCDE7" w14:textId="4170A8C1" w:rsidR="00106B63" w:rsidRPr="00A5000E" w:rsidRDefault="00106B63" w:rsidP="00106B63">
            <w:pPr>
              <w:spacing w:after="0"/>
              <w:contextualSpacing/>
              <w:jc w:val="both"/>
              <w:rPr>
                <w:rFonts w:ascii="Arial" w:hAnsi="Arial" w:cs="Arial"/>
                <w:bCs/>
                <w:highlight w:val="yellow"/>
                <w:lang w:eastAsia="es-CR"/>
              </w:rPr>
            </w:pPr>
            <w:r>
              <w:rPr>
                <w:rFonts w:ascii="Arial" w:hAnsi="Arial" w:cs="Arial"/>
                <w:color w:val="000000"/>
              </w:rPr>
              <w:t xml:space="preserve">En el caso de la recomendación </w:t>
            </w:r>
            <w:r w:rsidR="00500D4F">
              <w:rPr>
                <w:rFonts w:ascii="Arial" w:hAnsi="Arial" w:cs="Arial"/>
                <w:color w:val="000000"/>
              </w:rPr>
              <w:t xml:space="preserve">4.5, </w:t>
            </w:r>
            <w:r>
              <w:rPr>
                <w:rFonts w:ascii="Arial" w:hAnsi="Arial" w:cs="Arial"/>
                <w:color w:val="000000"/>
              </w:rPr>
              <w:t>se amplía al 30 de setiembre 2023.</w:t>
            </w:r>
          </w:p>
        </w:tc>
      </w:tr>
    </w:tbl>
    <w:p w14:paraId="1A51EA34" w14:textId="2D6BA4BE" w:rsidR="004571AE" w:rsidRPr="00FF17E8" w:rsidRDefault="004571AE" w:rsidP="00576EE1">
      <w:pPr>
        <w:spacing w:after="0"/>
        <w:contextualSpacing/>
        <w:rPr>
          <w:rFonts w:ascii="Arial" w:hAnsi="Arial" w:cs="Arial"/>
          <w:sz w:val="18"/>
          <w:szCs w:val="18"/>
        </w:rPr>
      </w:pPr>
      <w:r w:rsidRPr="00FF17E8">
        <w:rPr>
          <w:rFonts w:ascii="Arial" w:hAnsi="Arial" w:cs="Arial"/>
          <w:sz w:val="18"/>
          <w:szCs w:val="18"/>
        </w:rPr>
        <w:t xml:space="preserve">Fuente: Acta de comunicación de resultados del estudio </w:t>
      </w:r>
      <w:r>
        <w:rPr>
          <w:rFonts w:ascii="Arial" w:hAnsi="Arial" w:cs="Arial"/>
          <w:sz w:val="18"/>
          <w:szCs w:val="18"/>
        </w:rPr>
        <w:t>007-2022</w:t>
      </w:r>
      <w:r w:rsidR="00576EE1">
        <w:rPr>
          <w:rFonts w:ascii="Arial" w:hAnsi="Arial" w:cs="Arial"/>
          <w:sz w:val="18"/>
          <w:szCs w:val="18"/>
        </w:rPr>
        <w:t xml:space="preserve"> del 15 de diciembre de 2022.</w:t>
      </w:r>
    </w:p>
    <w:p w14:paraId="53928144" w14:textId="77777777" w:rsidR="004571AE" w:rsidRDefault="004571AE" w:rsidP="004571AE">
      <w:pPr>
        <w:rPr>
          <w:rFonts w:ascii="Arial" w:hAnsi="Arial" w:cs="Arial"/>
          <w:b/>
          <w:bCs/>
          <w:color w:val="44546A" w:themeColor="text2"/>
          <w:sz w:val="24"/>
          <w:szCs w:val="24"/>
        </w:rPr>
      </w:pPr>
    </w:p>
    <w:p w14:paraId="3675E645" w14:textId="77777777" w:rsidR="00145D6B" w:rsidRPr="00145D6B" w:rsidRDefault="00145D6B" w:rsidP="004571AE">
      <w:pPr>
        <w:autoSpaceDE w:val="0"/>
        <w:autoSpaceDN w:val="0"/>
        <w:adjustRightInd w:val="0"/>
        <w:spacing w:after="0" w:line="276" w:lineRule="auto"/>
        <w:jc w:val="center"/>
        <w:rPr>
          <w:rFonts w:ascii="Arial" w:hAnsi="Arial" w:cs="Arial"/>
          <w:vanish/>
          <w:sz w:val="24"/>
          <w:szCs w:val="24"/>
          <w:specVanish/>
        </w:rPr>
      </w:pPr>
    </w:p>
    <w:p w14:paraId="640FB35D" w14:textId="77777777" w:rsidR="009817E9" w:rsidRDefault="00145D6B" w:rsidP="00145D6B">
      <w:pPr>
        <w:rPr>
          <w:rFonts w:ascii="Arial" w:hAnsi="Arial" w:cs="Arial"/>
          <w:sz w:val="24"/>
          <w:szCs w:val="24"/>
        </w:rPr>
      </w:pPr>
      <w:r>
        <w:rPr>
          <w:rFonts w:ascii="Arial" w:hAnsi="Arial" w:cs="Arial"/>
          <w:sz w:val="24"/>
          <w:szCs w:val="24"/>
        </w:rPr>
        <w:t xml:space="preserve"> </w:t>
      </w:r>
    </w:p>
    <w:p w14:paraId="4960EFDE" w14:textId="77777777" w:rsidR="009817E9" w:rsidRDefault="009817E9">
      <w:pPr>
        <w:rPr>
          <w:rFonts w:ascii="Arial" w:hAnsi="Arial" w:cs="Arial"/>
          <w:sz w:val="24"/>
          <w:szCs w:val="24"/>
        </w:rPr>
      </w:pPr>
      <w:r>
        <w:rPr>
          <w:rFonts w:ascii="Arial" w:hAnsi="Arial" w:cs="Arial"/>
          <w:sz w:val="24"/>
          <w:szCs w:val="24"/>
        </w:rPr>
        <w:br w:type="page"/>
      </w:r>
    </w:p>
    <w:p w14:paraId="26DF05DF" w14:textId="77777777" w:rsidR="009817E9" w:rsidRPr="00BB6CF3" w:rsidRDefault="009817E9" w:rsidP="009817E9">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66" w:name="_Toc119920113"/>
      <w:r w:rsidRPr="00BB6CF3">
        <w:rPr>
          <w:rFonts w:ascii="Arial" w:hAnsi="Arial" w:cs="Arial"/>
          <w:b/>
          <w:bCs/>
          <w:color w:val="44546A" w:themeColor="text2"/>
          <w:kern w:val="28"/>
          <w:sz w:val="24"/>
          <w:szCs w:val="24"/>
          <w:lang w:eastAsia="es-ES"/>
        </w:rPr>
        <w:lastRenderedPageBreak/>
        <w:t>ANEXO N°</w:t>
      </w:r>
      <w:r>
        <w:rPr>
          <w:rFonts w:ascii="Arial" w:hAnsi="Arial" w:cs="Arial"/>
          <w:b/>
          <w:bCs/>
          <w:color w:val="44546A" w:themeColor="text2"/>
          <w:kern w:val="28"/>
          <w:sz w:val="24"/>
          <w:szCs w:val="24"/>
          <w:lang w:eastAsia="es-ES"/>
        </w:rPr>
        <w:t>2</w:t>
      </w:r>
      <w:bookmarkEnd w:id="66"/>
    </w:p>
    <w:p w14:paraId="54F0F6E8" w14:textId="77777777" w:rsidR="009817E9" w:rsidRPr="00BB6CF3" w:rsidRDefault="009817E9" w:rsidP="009817E9">
      <w:pPr>
        <w:autoSpaceDE w:val="0"/>
        <w:autoSpaceDN w:val="0"/>
        <w:adjustRightInd w:val="0"/>
        <w:spacing w:after="0"/>
        <w:jc w:val="center"/>
        <w:rPr>
          <w:rFonts w:ascii="Arial" w:eastAsiaTheme="minorEastAsia" w:hAnsi="Arial" w:cs="Arial"/>
          <w:b/>
          <w:bCs/>
          <w:color w:val="44546A" w:themeColor="text2"/>
          <w:sz w:val="24"/>
          <w:lang w:eastAsia="es-ES"/>
        </w:rPr>
      </w:pPr>
      <w:r>
        <w:rPr>
          <w:rFonts w:ascii="Arial" w:eastAsiaTheme="minorEastAsia" w:hAnsi="Arial" w:cs="Arial"/>
          <w:b/>
          <w:bCs/>
          <w:color w:val="44546A" w:themeColor="text2"/>
          <w:sz w:val="24"/>
          <w:lang w:eastAsia="es-ES"/>
        </w:rPr>
        <w:t>DETALLE DE LAS RECOMENDACIONES CUMPLIDAS</w:t>
      </w:r>
    </w:p>
    <w:p w14:paraId="3B3CF348" w14:textId="77777777" w:rsidR="009817E9" w:rsidRPr="009817E9" w:rsidRDefault="009817E9" w:rsidP="009817E9">
      <w:pPr>
        <w:autoSpaceDE w:val="0"/>
        <w:autoSpaceDN w:val="0"/>
        <w:adjustRightInd w:val="0"/>
        <w:spacing w:after="0"/>
        <w:jc w:val="center"/>
        <w:rPr>
          <w:rFonts w:ascii="Arial" w:eastAsiaTheme="minorEastAsia" w:hAnsi="Arial" w:cs="Arial"/>
          <w:b/>
          <w:bCs/>
          <w:color w:val="44546A" w:themeColor="text2"/>
          <w:sz w:val="24"/>
          <w:lang w:eastAsia="es-ES"/>
        </w:rPr>
      </w:pPr>
      <w:r w:rsidRPr="009817E9">
        <w:rPr>
          <w:rFonts w:ascii="Arial" w:eastAsiaTheme="minorEastAsia" w:hAnsi="Arial" w:cs="Arial"/>
          <w:b/>
          <w:bCs/>
          <w:color w:val="44546A" w:themeColor="text2"/>
          <w:sz w:val="24"/>
          <w:lang w:eastAsia="es-ES"/>
        </w:rPr>
        <w:t>A AGOSTO DE 2022</w:t>
      </w:r>
    </w:p>
    <w:tbl>
      <w:tblPr>
        <w:tblStyle w:val="Tablaconcuadrcula"/>
        <w:tblW w:w="5000" w:type="pct"/>
        <w:tblLook w:val="04A0" w:firstRow="1" w:lastRow="0" w:firstColumn="1" w:lastColumn="0" w:noHBand="0" w:noVBand="1"/>
      </w:tblPr>
      <w:tblGrid>
        <w:gridCol w:w="2106"/>
        <w:gridCol w:w="6722"/>
      </w:tblGrid>
      <w:tr w:rsidR="009817E9" w:rsidRPr="00AD44B7" w14:paraId="5FB66847" w14:textId="77777777" w:rsidTr="0085163D">
        <w:trPr>
          <w:trHeight w:val="288"/>
          <w:tblHeader/>
        </w:trPr>
        <w:tc>
          <w:tcPr>
            <w:tcW w:w="1193" w:type="pct"/>
            <w:shd w:val="clear" w:color="auto" w:fill="44546A" w:themeFill="text2"/>
            <w:noWrap/>
            <w:hideMark/>
          </w:tcPr>
          <w:p w14:paraId="2C4DD232" w14:textId="77777777" w:rsidR="009817E9" w:rsidRPr="00AD44B7" w:rsidRDefault="009817E9" w:rsidP="0085163D">
            <w:pPr>
              <w:jc w:val="center"/>
              <w:rPr>
                <w:rFonts w:ascii="Arial" w:hAnsi="Arial" w:cs="Arial"/>
                <w:b/>
                <w:bCs/>
                <w:color w:val="FFFFFF" w:themeColor="background1"/>
                <w:sz w:val="20"/>
                <w:szCs w:val="20"/>
                <w:lang w:eastAsia="es-CR"/>
              </w:rPr>
            </w:pPr>
            <w:r w:rsidRPr="00AD44B7">
              <w:rPr>
                <w:rFonts w:ascii="Arial" w:hAnsi="Arial" w:cs="Arial"/>
                <w:b/>
                <w:bCs/>
                <w:color w:val="FFFFFF" w:themeColor="background1"/>
                <w:sz w:val="20"/>
                <w:szCs w:val="20"/>
                <w:lang w:eastAsia="es-CR"/>
              </w:rPr>
              <w:t>Número de Informe</w:t>
            </w:r>
          </w:p>
        </w:tc>
        <w:tc>
          <w:tcPr>
            <w:tcW w:w="3807" w:type="pct"/>
            <w:shd w:val="clear" w:color="auto" w:fill="44546A" w:themeFill="text2"/>
            <w:noWrap/>
            <w:hideMark/>
          </w:tcPr>
          <w:p w14:paraId="4085951E" w14:textId="77777777" w:rsidR="009817E9" w:rsidRPr="00AD44B7" w:rsidRDefault="009817E9" w:rsidP="0085163D">
            <w:pPr>
              <w:jc w:val="center"/>
              <w:rPr>
                <w:rFonts w:ascii="Arial" w:hAnsi="Arial" w:cs="Arial"/>
                <w:b/>
                <w:bCs/>
                <w:color w:val="FFFFFF" w:themeColor="background1"/>
                <w:sz w:val="20"/>
                <w:szCs w:val="20"/>
                <w:lang w:eastAsia="es-CR"/>
              </w:rPr>
            </w:pPr>
            <w:r w:rsidRPr="00AD44B7">
              <w:rPr>
                <w:rFonts w:ascii="Arial" w:hAnsi="Arial" w:cs="Arial"/>
                <w:b/>
                <w:bCs/>
                <w:color w:val="FFFFFF" w:themeColor="background1"/>
                <w:sz w:val="20"/>
                <w:szCs w:val="20"/>
                <w:lang w:eastAsia="es-CR"/>
              </w:rPr>
              <w:t xml:space="preserve">Recomendaciones </w:t>
            </w:r>
            <w:r>
              <w:rPr>
                <w:rFonts w:ascii="Arial" w:hAnsi="Arial" w:cs="Arial"/>
                <w:b/>
                <w:bCs/>
                <w:color w:val="FFFFFF" w:themeColor="background1"/>
                <w:sz w:val="20"/>
                <w:szCs w:val="20"/>
                <w:lang w:eastAsia="es-CR"/>
              </w:rPr>
              <w:t>p</w:t>
            </w:r>
            <w:r w:rsidRPr="00AD44B7">
              <w:rPr>
                <w:rFonts w:ascii="Arial" w:hAnsi="Arial" w:cs="Arial"/>
                <w:b/>
                <w:bCs/>
                <w:color w:val="FFFFFF" w:themeColor="background1"/>
                <w:sz w:val="20"/>
                <w:szCs w:val="20"/>
                <w:lang w:eastAsia="es-CR"/>
              </w:rPr>
              <w:t>endientes</w:t>
            </w:r>
          </w:p>
        </w:tc>
      </w:tr>
      <w:tr w:rsidR="009817E9" w:rsidRPr="00AD44B7" w14:paraId="7504B805" w14:textId="77777777" w:rsidTr="0085163D">
        <w:trPr>
          <w:trHeight w:val="3540"/>
        </w:trPr>
        <w:tc>
          <w:tcPr>
            <w:tcW w:w="1193" w:type="pct"/>
            <w:noWrap/>
            <w:vAlign w:val="center"/>
            <w:hideMark/>
          </w:tcPr>
          <w:p w14:paraId="73CB5776"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INF-DGAI-024-2012</w:t>
            </w:r>
          </w:p>
        </w:tc>
        <w:tc>
          <w:tcPr>
            <w:tcW w:w="3807" w:type="pct"/>
            <w:hideMark/>
          </w:tcPr>
          <w:p w14:paraId="5AE74ABE"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 xml:space="preserve">4.3 Girar las instrucciones correspondientes para que se revise los casos que presuntamente se encuentran prescritos, tanto los que se encuentran en ese estado en la base de datos como los que encuentran en los Juzgados a efecto de establecer el estado real de los casos presentados por parte de los abogados del Departamento de Cobro Judicial, y tomar decisiones sobre el tratamiento de esas cuentas. Lo anterior, sin detrimento de que se lleven a cabo las acciones para determinar eventuales responsabilidades administrativas o civiles de corresponder, ante la ausencia del control de los expedientes y los casos que se hayan dejado sin más trámite por parte de los abogados asignados, causando un eventual perjuicio económico a la Institución y el erario público. </w:t>
            </w:r>
          </w:p>
          <w:p w14:paraId="762B450B"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4.4 Realizar las acciones para que se revise lo sucedido con los 443 casos de expedientes que no fue posible localizar y suministrar para la realización del estudio, a fin de que se determine la situación real y se tomen las medidas correctivas que proceden. Asimismo, se valore los aspectos de seguridad en el Departamento Cobro Judicial para mejorar la custodia y control de expedientes, que considere al menos, espacio físico para la adecuada custodia de expedientes, acceso restringido a personas no autorizadas, y contar con una herramienta que contribuya a fortalecer el control de los expedientes a cargo.</w:t>
            </w:r>
          </w:p>
        </w:tc>
      </w:tr>
      <w:tr w:rsidR="009817E9" w:rsidRPr="00AD44B7" w14:paraId="3244CD7B" w14:textId="77777777" w:rsidTr="0085163D">
        <w:trPr>
          <w:trHeight w:val="542"/>
        </w:trPr>
        <w:tc>
          <w:tcPr>
            <w:tcW w:w="1193" w:type="pct"/>
            <w:noWrap/>
            <w:vAlign w:val="center"/>
            <w:hideMark/>
          </w:tcPr>
          <w:p w14:paraId="51148FED"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AI-INF-024-2016</w:t>
            </w:r>
          </w:p>
        </w:tc>
        <w:tc>
          <w:tcPr>
            <w:tcW w:w="3807" w:type="pct"/>
            <w:hideMark/>
          </w:tcPr>
          <w:p w14:paraId="1CE25788"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4.5 Ordenar que en los expedientes en proceso de cobro judicial quede evidencia de que se efectuaron los estudios de informes registrales de bienes y un estudio de costo – oportunidad. Paralelamente, coordinar con la Jefatura del Departamento de Cobro Judicial, para que se revise la práctica que únicamente a los casos millonarios procede embargos de bienes, conforme a la normativa que regula esa materia y en caso afirmativo que proceda, se realicen los ajustes respectivos a la normativa existente.</w:t>
            </w:r>
          </w:p>
        </w:tc>
      </w:tr>
      <w:tr w:rsidR="009817E9" w:rsidRPr="00AD44B7" w14:paraId="20F2FB1C" w14:textId="77777777" w:rsidTr="0085163D">
        <w:trPr>
          <w:trHeight w:val="2292"/>
        </w:trPr>
        <w:tc>
          <w:tcPr>
            <w:tcW w:w="1193" w:type="pct"/>
            <w:noWrap/>
            <w:vAlign w:val="center"/>
            <w:hideMark/>
          </w:tcPr>
          <w:p w14:paraId="148BAFB1"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DGAI-INF-002-2017</w:t>
            </w:r>
          </w:p>
        </w:tc>
        <w:tc>
          <w:tcPr>
            <w:tcW w:w="3807" w:type="pct"/>
            <w:hideMark/>
          </w:tcPr>
          <w:p w14:paraId="4DDFE221"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3.3 Elaborar con el apoyo técnico de la Dirección de Tecnologías de Información y Comunicación, un plan de acción que permita digitalizar toda la información que deben analizar los profesionales responsables y que los expedientes físicos se mantengan en custodia por mientras dura el proceso de análisis y recuperación de la deuda, considerando en todo momento los elementos de un expediente legal. Mientras se complete este proceso de digitalización, es conveniente que se adopten las acciones de control mínimas, y el análisis correspondiente para que los funcionarios a cargo del proceso de cobro, incluyendo a los administrativos, únicamente mantengan en sus escritorios aquellos casos o expedientes que puedan ser ejecutados en un tiempo prudencial sea diario o semanal, los que deberán estar custodiados en un área segura y con un documento de entrega formal que haga constar que documentos le fueron entregados al funcionario y cuales va devolviendo, para la custodia del archivo central, control que a la vez debe facilitar la toma de inventario de los expedientes en poder de un funcionario.</w:t>
            </w:r>
          </w:p>
        </w:tc>
      </w:tr>
      <w:tr w:rsidR="009817E9" w:rsidRPr="00AD44B7" w14:paraId="1A8CA3B4" w14:textId="77777777" w:rsidTr="0085163D">
        <w:trPr>
          <w:trHeight w:val="4104"/>
        </w:trPr>
        <w:tc>
          <w:tcPr>
            <w:tcW w:w="1193" w:type="pct"/>
            <w:noWrap/>
            <w:vAlign w:val="center"/>
            <w:hideMark/>
          </w:tcPr>
          <w:p w14:paraId="249822F6"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lastRenderedPageBreak/>
              <w:t>AI-INF-007-2017</w:t>
            </w:r>
          </w:p>
        </w:tc>
        <w:tc>
          <w:tcPr>
            <w:tcW w:w="3807" w:type="pct"/>
            <w:hideMark/>
          </w:tcPr>
          <w:p w14:paraId="7B81FD46" w14:textId="77777777" w:rsidR="009817E9" w:rsidRDefault="009817E9" w:rsidP="0085163D">
            <w:pPr>
              <w:jc w:val="both"/>
              <w:rPr>
                <w:rFonts w:ascii="Arial" w:hAnsi="Arial" w:cs="Arial"/>
                <w:sz w:val="20"/>
                <w:szCs w:val="20"/>
                <w:lang w:eastAsia="es-CR"/>
              </w:rPr>
            </w:pPr>
            <w:r w:rsidRPr="00AD44B7">
              <w:rPr>
                <w:rFonts w:ascii="Arial" w:hAnsi="Arial" w:cs="Arial"/>
                <w:sz w:val="20"/>
                <w:szCs w:val="20"/>
                <w:lang w:eastAsia="es-CR"/>
              </w:rPr>
              <w:t>4.1 Girar instrucciones a los jefes de División y Departamentos para que se ajusten a la normativa legal y técnica aplicable en el Ministerio de Hacienda en relación con el registro, aprobación y disfrute de vacaciones, así como de las ausencias laborales. Para lo anterior, ordenar que se revise el estado de registro y disfrute de vacaciones del personal que conforma la citada División de Adeudos Estatales y determinar si existen situaciones como las comentadas en los presentes casos.</w:t>
            </w:r>
            <w:r w:rsidRPr="00AD44B7">
              <w:rPr>
                <w:rFonts w:ascii="Arial" w:hAnsi="Arial" w:cs="Arial"/>
                <w:sz w:val="20"/>
                <w:szCs w:val="20"/>
                <w:lang w:eastAsia="es-CR"/>
              </w:rPr>
              <w:br/>
            </w:r>
            <w:r w:rsidRPr="00AD44B7">
              <w:rPr>
                <w:rFonts w:ascii="Arial" w:hAnsi="Arial" w:cs="Arial"/>
                <w:sz w:val="20"/>
                <w:szCs w:val="20"/>
                <w:lang w:eastAsia="es-CR"/>
              </w:rPr>
              <w:br/>
              <w:t>4.2 Ordenar que se revise si existen resoluciones de acumulación de vacaciones, de periodos anteriores, en los casos que se mencionan en el presente informe y si no existen proceder conforme corresponde a derecho, para las acciones correctivas.</w:t>
            </w:r>
            <w:r>
              <w:rPr>
                <w:rFonts w:ascii="Arial" w:hAnsi="Arial" w:cs="Arial"/>
                <w:sz w:val="20"/>
                <w:szCs w:val="20"/>
                <w:lang w:eastAsia="es-CR"/>
              </w:rPr>
              <w:t xml:space="preserve"> </w:t>
            </w:r>
          </w:p>
          <w:p w14:paraId="44DE5254"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 xml:space="preserve">4.3 Gestionar la emisión de resoluciones de acumulación de vacaciones, en los casos que proceden, según la normativa institucional vigente, para un solo periodo de vacaciones, de acuerdo con el respectivo plan de vacaciones. </w:t>
            </w:r>
          </w:p>
          <w:p w14:paraId="20092993"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 xml:space="preserve"> 4.5 Valorar lo actuado por las jefaturas de la División de Adeudos Estatales en los casos en que se haya dado algún incumplimiento normativo y tomar las acciones que en derecho correspondan, con el disfrute de vacaciones que no se ajustan a las disposiciones regulatorias del Ministerio, según se comentan en el presente informe.</w:t>
            </w:r>
          </w:p>
        </w:tc>
      </w:tr>
      <w:tr w:rsidR="009817E9" w:rsidRPr="00AD44B7" w14:paraId="5A6F2CF1" w14:textId="77777777" w:rsidTr="0085163D">
        <w:trPr>
          <w:trHeight w:val="538"/>
        </w:trPr>
        <w:tc>
          <w:tcPr>
            <w:tcW w:w="1193" w:type="pct"/>
            <w:noWrap/>
            <w:vAlign w:val="center"/>
            <w:hideMark/>
          </w:tcPr>
          <w:p w14:paraId="2070E5D1"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AI-INF-024-2017</w:t>
            </w:r>
          </w:p>
        </w:tc>
        <w:tc>
          <w:tcPr>
            <w:tcW w:w="3807" w:type="pct"/>
            <w:hideMark/>
          </w:tcPr>
          <w:p w14:paraId="262D49F6"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 xml:space="preserve">4.2 Instruir que se revise lo señalado en el punto 2.3 del presente informe, con el fin de que los procedimientos se ajusten de conformidad con las observaciones descritas en el anexo 1. Una vez realizado lo anterior, proceder a la oficialización y divulgación de dichos procedimientos, para esos efectos es necesario que se valore el plan de acción que se elaboró para atender el Servicio de Advertencia AI-AD-015-2017, para determinar si se requiere algún ajuste en los plazos establecidos y si están conforme al criterio de oportunidad. </w:t>
            </w:r>
          </w:p>
          <w:p w14:paraId="327B1D56" w14:textId="77777777" w:rsidR="009817E9" w:rsidRDefault="009817E9" w:rsidP="0085163D">
            <w:pPr>
              <w:jc w:val="both"/>
              <w:rPr>
                <w:rFonts w:ascii="Arial" w:hAnsi="Arial" w:cs="Arial"/>
                <w:sz w:val="20"/>
                <w:szCs w:val="20"/>
                <w:lang w:eastAsia="es-CR"/>
              </w:rPr>
            </w:pPr>
            <w:r w:rsidRPr="00AD44B7">
              <w:rPr>
                <w:rFonts w:ascii="Arial" w:hAnsi="Arial" w:cs="Arial"/>
                <w:sz w:val="20"/>
                <w:szCs w:val="20"/>
                <w:lang w:eastAsia="es-CR"/>
              </w:rPr>
              <w:br/>
              <w:t>4.3 Instruir para que se establezcan los mecanismos de control necesarios para asegurar razonablemente el deber de confidencialidad de la información por parte de los funcionarios que durante el proceso de los estudios o evaluaciones a realizar.</w:t>
            </w:r>
            <w:r>
              <w:rPr>
                <w:rFonts w:ascii="Arial" w:hAnsi="Arial" w:cs="Arial"/>
                <w:sz w:val="20"/>
                <w:szCs w:val="20"/>
                <w:lang w:eastAsia="es-CR"/>
              </w:rPr>
              <w:t xml:space="preserve"> </w:t>
            </w:r>
          </w:p>
          <w:p w14:paraId="38214435"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 xml:space="preserve">4.4 Ordenar que se defina una metodología formal para realizar la supervisión de los estudios y evaluaciones, que contenga al menos: revisión de avance, control de plazos, revisión de la documentación soporte del estudio, tipo de supervisión y periodicidad, forma de hacer observaciones al trabajo ejecutado. </w:t>
            </w:r>
          </w:p>
          <w:p w14:paraId="6F428888"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 xml:space="preserve">4.5 Instruir que establezcan canales y medios de comunicación formales entre está División y las respectivas dependencias del Área de Ingresos del Ministerio de Hacienda, a saber (Dirección General de Tributación, Dirección General de Aduanas, Policía de Control Fiscal), con el fin de que se disponga de información ágil, segura, correcta y oportuna. Ver punto 2.6 del presente informe. </w:t>
            </w:r>
          </w:p>
          <w:p w14:paraId="667CBD18"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4.6 Tomar</w:t>
            </w:r>
            <w:r w:rsidRPr="00AD44B7">
              <w:rPr>
                <w:rFonts w:ascii="Arial" w:hAnsi="Arial" w:cs="Arial"/>
                <w:sz w:val="20"/>
                <w:szCs w:val="20"/>
              </w:rPr>
              <w:t xml:space="preserve"> acciones para que establezca la práctica de documentar las reuniones de coordinación que se realizan, dejando evidencia sobre lo </w:t>
            </w:r>
            <w:r w:rsidRPr="00AD44B7">
              <w:rPr>
                <w:rFonts w:ascii="Arial" w:hAnsi="Arial" w:cs="Arial"/>
                <w:sz w:val="20"/>
                <w:szCs w:val="20"/>
              </w:rPr>
              <w:lastRenderedPageBreak/>
              <w:t>actuado en el proceso de planificación operativa, que permita respaldar las decisiones tomadas.</w:t>
            </w:r>
          </w:p>
        </w:tc>
      </w:tr>
      <w:tr w:rsidR="009817E9" w:rsidRPr="00AD44B7" w14:paraId="1A765D40" w14:textId="77777777" w:rsidTr="0085163D">
        <w:trPr>
          <w:trHeight w:val="973"/>
        </w:trPr>
        <w:tc>
          <w:tcPr>
            <w:tcW w:w="1193" w:type="pct"/>
            <w:noWrap/>
            <w:vAlign w:val="center"/>
            <w:hideMark/>
          </w:tcPr>
          <w:p w14:paraId="761BF09D"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lastRenderedPageBreak/>
              <w:t>AI-INF-025-2017</w:t>
            </w:r>
          </w:p>
        </w:tc>
        <w:tc>
          <w:tcPr>
            <w:tcW w:w="3807" w:type="pct"/>
            <w:hideMark/>
          </w:tcPr>
          <w:p w14:paraId="28EAB9C9"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 xml:space="preserve">4.1 Proveer en la medida de lo posible a la Dirección General de Hacienda, los recursos necesarios que le permitan implementar las recomendaciones presentadas en los distintos servicios de auditoría presentados en este informe, con el propósito de que la función que cumple dicha Dirección sea fortalecida para que se recuperen los recursos puestos en cobro judicial y se brinde a las unidades de inteligencia del área de ingresos de información valiosa para detectar nuevas fuentes de evasión. </w:t>
            </w:r>
          </w:p>
          <w:p w14:paraId="4FE62C82"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4.4 Fortalecer las medidas de seguridad en lo relacionado con la custodia de expedientes, estableciendo mecanismos como cámaras de seguridad, control de expedientes por medio de barras de seguridad entre otros, de manera que se disminuya el riesgo de pérdida, destrucción y extravío de expedientes.</w:t>
            </w:r>
            <w:r w:rsidRPr="00AD44B7">
              <w:rPr>
                <w:rFonts w:ascii="Arial" w:hAnsi="Arial" w:cs="Arial"/>
                <w:sz w:val="20"/>
                <w:szCs w:val="20"/>
                <w:lang w:eastAsia="es-CR"/>
              </w:rPr>
              <w:br/>
            </w:r>
            <w:r w:rsidRPr="00AD44B7">
              <w:rPr>
                <w:rFonts w:ascii="Arial" w:hAnsi="Arial" w:cs="Arial"/>
                <w:sz w:val="20"/>
                <w:szCs w:val="20"/>
                <w:lang w:eastAsia="es-CR"/>
              </w:rPr>
              <w:br/>
              <w:t xml:space="preserve">4.5 Ordenar a todos los funcionarios de la División de Adeudos Estatales, -incluidas las jefaturas-, el traslado inmediato de todos los expedientes de cobro judicial independientemente de su estado, al área de archivo correspondiente, para lo cual se deben establecer las medidas necesarias para saber quién entrega, qué entrega y en qué localización quedará. </w:t>
            </w:r>
          </w:p>
          <w:p w14:paraId="4C4664EC" w14:textId="77777777" w:rsidR="009817E9" w:rsidRPr="00AD44B7" w:rsidRDefault="009817E9" w:rsidP="0085163D">
            <w:pPr>
              <w:jc w:val="both"/>
              <w:rPr>
                <w:rFonts w:ascii="Arial MT" w:hAnsi="Arial MT"/>
                <w:sz w:val="20"/>
                <w:szCs w:val="20"/>
              </w:rPr>
            </w:pPr>
            <w:r w:rsidRPr="00AD44B7">
              <w:rPr>
                <w:rFonts w:ascii="Arial" w:hAnsi="Arial" w:cs="Arial"/>
                <w:sz w:val="20"/>
                <w:szCs w:val="20"/>
                <w:lang w:eastAsia="es-CR"/>
              </w:rPr>
              <w:br/>
              <w:t xml:space="preserve">4.9 </w:t>
            </w:r>
            <w:r w:rsidRPr="00AD44B7">
              <w:rPr>
                <w:rFonts w:ascii="Arial MT" w:hAnsi="Arial MT"/>
                <w:sz w:val="20"/>
                <w:szCs w:val="20"/>
              </w:rPr>
              <w:t>Solicitar a la División de Adeudos Estatales la elaboración de un nuevo plan de acción</w:t>
            </w:r>
            <w:r w:rsidRPr="00AD44B7">
              <w:rPr>
                <w:rFonts w:ascii="Arial MT" w:hAnsi="Arial MT"/>
                <w:spacing w:val="1"/>
                <w:sz w:val="20"/>
                <w:szCs w:val="20"/>
              </w:rPr>
              <w:t xml:space="preserve"> </w:t>
            </w:r>
            <w:r w:rsidRPr="00AD44B7">
              <w:rPr>
                <w:rFonts w:ascii="Arial MT" w:hAnsi="Arial MT"/>
                <w:sz w:val="20"/>
                <w:szCs w:val="20"/>
              </w:rPr>
              <w:t>debidamente</w:t>
            </w:r>
            <w:r w:rsidRPr="00AD44B7">
              <w:rPr>
                <w:rFonts w:ascii="Arial MT" w:hAnsi="Arial MT"/>
                <w:spacing w:val="1"/>
                <w:sz w:val="20"/>
                <w:szCs w:val="20"/>
              </w:rPr>
              <w:t xml:space="preserve"> </w:t>
            </w:r>
            <w:r w:rsidRPr="00AD44B7">
              <w:rPr>
                <w:rFonts w:ascii="Arial MT" w:hAnsi="Arial MT"/>
                <w:sz w:val="20"/>
                <w:szCs w:val="20"/>
              </w:rPr>
              <w:t>aprobado</w:t>
            </w:r>
            <w:r w:rsidRPr="00AD44B7">
              <w:rPr>
                <w:rFonts w:ascii="Arial MT" w:hAnsi="Arial MT"/>
                <w:spacing w:val="1"/>
                <w:sz w:val="20"/>
                <w:szCs w:val="20"/>
              </w:rPr>
              <w:t xml:space="preserve"> </w:t>
            </w:r>
            <w:r w:rsidRPr="00AD44B7">
              <w:rPr>
                <w:rFonts w:ascii="Arial MT" w:hAnsi="Arial MT"/>
                <w:sz w:val="20"/>
                <w:szCs w:val="20"/>
              </w:rPr>
              <w:t>por</w:t>
            </w:r>
            <w:r w:rsidRPr="00AD44B7">
              <w:rPr>
                <w:rFonts w:ascii="Arial MT" w:hAnsi="Arial MT"/>
                <w:spacing w:val="1"/>
                <w:sz w:val="20"/>
                <w:szCs w:val="20"/>
              </w:rPr>
              <w:t xml:space="preserve"> </w:t>
            </w:r>
            <w:r w:rsidRPr="00AD44B7">
              <w:rPr>
                <w:rFonts w:ascii="Arial MT" w:hAnsi="Arial MT"/>
                <w:sz w:val="20"/>
                <w:szCs w:val="20"/>
              </w:rPr>
              <w:t>la</w:t>
            </w:r>
            <w:r w:rsidRPr="00AD44B7">
              <w:rPr>
                <w:rFonts w:ascii="Arial MT" w:hAnsi="Arial MT"/>
                <w:spacing w:val="1"/>
                <w:sz w:val="20"/>
                <w:szCs w:val="20"/>
              </w:rPr>
              <w:t xml:space="preserve"> </w:t>
            </w:r>
            <w:r w:rsidRPr="00AD44B7">
              <w:rPr>
                <w:rFonts w:ascii="Arial MT" w:hAnsi="Arial MT"/>
                <w:sz w:val="20"/>
                <w:szCs w:val="20"/>
              </w:rPr>
              <w:t>Dirección</w:t>
            </w:r>
            <w:r w:rsidRPr="00AD44B7">
              <w:rPr>
                <w:rFonts w:ascii="Arial MT" w:hAnsi="Arial MT"/>
                <w:spacing w:val="1"/>
                <w:sz w:val="20"/>
                <w:szCs w:val="20"/>
              </w:rPr>
              <w:t xml:space="preserve"> </w:t>
            </w:r>
            <w:r w:rsidRPr="00AD44B7">
              <w:rPr>
                <w:rFonts w:ascii="Arial MT" w:hAnsi="Arial MT"/>
                <w:sz w:val="20"/>
                <w:szCs w:val="20"/>
              </w:rPr>
              <w:t>General</w:t>
            </w:r>
            <w:r w:rsidRPr="00AD44B7">
              <w:rPr>
                <w:rFonts w:ascii="Arial MT" w:hAnsi="Arial MT"/>
                <w:spacing w:val="1"/>
                <w:sz w:val="20"/>
                <w:szCs w:val="20"/>
              </w:rPr>
              <w:t xml:space="preserve"> </w:t>
            </w:r>
            <w:r w:rsidRPr="00AD44B7">
              <w:rPr>
                <w:rFonts w:ascii="Arial MT" w:hAnsi="Arial MT"/>
                <w:sz w:val="20"/>
                <w:szCs w:val="20"/>
              </w:rPr>
              <w:t>de</w:t>
            </w:r>
            <w:r w:rsidRPr="00AD44B7">
              <w:rPr>
                <w:rFonts w:ascii="Arial MT" w:hAnsi="Arial MT"/>
                <w:spacing w:val="1"/>
                <w:sz w:val="20"/>
                <w:szCs w:val="20"/>
              </w:rPr>
              <w:t xml:space="preserve"> </w:t>
            </w:r>
            <w:r w:rsidRPr="00AD44B7">
              <w:rPr>
                <w:rFonts w:ascii="Arial MT" w:hAnsi="Arial MT"/>
                <w:sz w:val="20"/>
                <w:szCs w:val="20"/>
              </w:rPr>
              <w:t>Hacienda</w:t>
            </w:r>
            <w:r w:rsidRPr="00AD44B7">
              <w:rPr>
                <w:rFonts w:ascii="Arial MT" w:hAnsi="Arial MT"/>
                <w:spacing w:val="1"/>
                <w:sz w:val="20"/>
                <w:szCs w:val="20"/>
              </w:rPr>
              <w:t xml:space="preserve"> </w:t>
            </w:r>
            <w:r w:rsidRPr="00AD44B7">
              <w:rPr>
                <w:rFonts w:ascii="Arial MT" w:hAnsi="Arial MT"/>
                <w:sz w:val="20"/>
                <w:szCs w:val="20"/>
              </w:rPr>
              <w:t>para</w:t>
            </w:r>
            <w:r w:rsidRPr="00AD44B7">
              <w:rPr>
                <w:rFonts w:ascii="Arial MT" w:hAnsi="Arial MT"/>
                <w:spacing w:val="1"/>
                <w:sz w:val="20"/>
                <w:szCs w:val="20"/>
              </w:rPr>
              <w:t xml:space="preserve"> </w:t>
            </w:r>
            <w:r w:rsidRPr="00AD44B7">
              <w:rPr>
                <w:rFonts w:ascii="Arial MT" w:hAnsi="Arial MT"/>
                <w:sz w:val="20"/>
                <w:szCs w:val="20"/>
              </w:rPr>
              <w:t>aquellas</w:t>
            </w:r>
            <w:r w:rsidRPr="00AD44B7">
              <w:rPr>
                <w:rFonts w:ascii="Arial MT" w:hAnsi="Arial MT"/>
                <w:spacing w:val="1"/>
                <w:sz w:val="20"/>
                <w:szCs w:val="20"/>
              </w:rPr>
              <w:t xml:space="preserve"> </w:t>
            </w:r>
            <w:r w:rsidRPr="00AD44B7">
              <w:rPr>
                <w:rFonts w:ascii="Arial MT" w:hAnsi="Arial MT"/>
                <w:sz w:val="20"/>
                <w:szCs w:val="20"/>
              </w:rPr>
              <w:t>recomendaciones de los distintos servicios de auditoría que se encuentran en proceso, y</w:t>
            </w:r>
            <w:r w:rsidRPr="00AD44B7">
              <w:rPr>
                <w:rFonts w:ascii="Arial MT" w:hAnsi="Arial MT"/>
                <w:spacing w:val="1"/>
                <w:sz w:val="20"/>
                <w:szCs w:val="20"/>
              </w:rPr>
              <w:t xml:space="preserve"> </w:t>
            </w:r>
            <w:r w:rsidRPr="00AD44B7">
              <w:rPr>
                <w:rFonts w:ascii="Arial MT" w:hAnsi="Arial MT"/>
                <w:sz w:val="20"/>
                <w:szCs w:val="20"/>
              </w:rPr>
              <w:t>establecer</w:t>
            </w:r>
            <w:r w:rsidRPr="00AD44B7">
              <w:rPr>
                <w:rFonts w:ascii="Arial MT" w:hAnsi="Arial MT"/>
                <w:spacing w:val="-1"/>
                <w:sz w:val="20"/>
                <w:szCs w:val="20"/>
              </w:rPr>
              <w:t xml:space="preserve"> </w:t>
            </w:r>
            <w:r w:rsidRPr="00AD44B7">
              <w:rPr>
                <w:rFonts w:ascii="Arial MT" w:hAnsi="Arial MT"/>
                <w:sz w:val="20"/>
                <w:szCs w:val="20"/>
              </w:rPr>
              <w:t>un plazo máximo</w:t>
            </w:r>
            <w:r w:rsidRPr="00AD44B7">
              <w:rPr>
                <w:rFonts w:ascii="Arial MT" w:hAnsi="Arial MT"/>
                <w:spacing w:val="-3"/>
                <w:sz w:val="20"/>
                <w:szCs w:val="20"/>
              </w:rPr>
              <w:t xml:space="preserve"> </w:t>
            </w:r>
            <w:r w:rsidRPr="00AD44B7">
              <w:rPr>
                <w:rFonts w:ascii="Arial MT" w:hAnsi="Arial MT"/>
                <w:sz w:val="20"/>
                <w:szCs w:val="20"/>
              </w:rPr>
              <w:t>para su implementación.</w:t>
            </w:r>
          </w:p>
          <w:p w14:paraId="439A8894"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br/>
              <w:t>4.13 Presentar al señor Viceministro de Ingresos un nuevo plan de acción para la implementación de los informes de auditoría que presentan recomendaciones en proceso.</w:t>
            </w:r>
          </w:p>
        </w:tc>
      </w:tr>
      <w:tr w:rsidR="009817E9" w:rsidRPr="00AD44B7" w14:paraId="7A66BFF2" w14:textId="77777777" w:rsidTr="0085163D">
        <w:trPr>
          <w:trHeight w:val="1140"/>
        </w:trPr>
        <w:tc>
          <w:tcPr>
            <w:tcW w:w="1193" w:type="pct"/>
            <w:noWrap/>
            <w:vAlign w:val="center"/>
            <w:hideMark/>
          </w:tcPr>
          <w:p w14:paraId="49E41EAA"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AI-INF-027-2017</w:t>
            </w:r>
          </w:p>
        </w:tc>
        <w:tc>
          <w:tcPr>
            <w:tcW w:w="3807" w:type="pct"/>
            <w:hideMark/>
          </w:tcPr>
          <w:p w14:paraId="4F79455C" w14:textId="77777777" w:rsidR="009817E9" w:rsidRPr="00AD44B7" w:rsidRDefault="009817E9" w:rsidP="0085163D">
            <w:pPr>
              <w:jc w:val="both"/>
              <w:rPr>
                <w:rFonts w:ascii="Arial" w:hAnsi="Arial" w:cs="Arial"/>
                <w:sz w:val="20"/>
                <w:szCs w:val="20"/>
                <w:lang w:eastAsia="es-CR"/>
              </w:rPr>
            </w:pPr>
            <w:bookmarkStart w:id="67" w:name="RANGE!B8"/>
            <w:r w:rsidRPr="00AD44B7">
              <w:rPr>
                <w:rFonts w:ascii="Arial" w:hAnsi="Arial" w:cs="Arial"/>
                <w:sz w:val="20"/>
                <w:szCs w:val="20"/>
                <w:lang w:eastAsia="es-CR"/>
              </w:rPr>
              <w:t>3.3 Solicitar a la Directora General de Hacienda tomar las acciones necesarias para que, dentro de los procedimientos del Departamento de Cobro Judicial, se establezca la práctica de registrar mensualmente en el SIED toda la información de los expedientes que se reciben de las diferentes dependencias o entidades gubernamentales en el mes en que son recibidas, de forma tal que se permita conciliar esta información. Ver punto 2.3. de este informe.</w:t>
            </w:r>
            <w:bookmarkEnd w:id="67"/>
          </w:p>
        </w:tc>
      </w:tr>
      <w:tr w:rsidR="009817E9" w:rsidRPr="00AD44B7" w14:paraId="30C2B848" w14:textId="77777777" w:rsidTr="0085163D">
        <w:trPr>
          <w:trHeight w:val="684"/>
        </w:trPr>
        <w:tc>
          <w:tcPr>
            <w:tcW w:w="1193" w:type="pct"/>
            <w:noWrap/>
            <w:vAlign w:val="center"/>
            <w:hideMark/>
          </w:tcPr>
          <w:p w14:paraId="52DEABD6" w14:textId="77777777" w:rsidR="009817E9" w:rsidRPr="00AD44B7" w:rsidRDefault="009817E9" w:rsidP="0085163D">
            <w:pPr>
              <w:jc w:val="center"/>
              <w:rPr>
                <w:rFonts w:ascii="Arial" w:hAnsi="Arial" w:cs="Arial"/>
                <w:sz w:val="20"/>
                <w:szCs w:val="20"/>
                <w:lang w:eastAsia="es-CR"/>
              </w:rPr>
            </w:pPr>
            <w:r w:rsidRPr="00AD44B7">
              <w:rPr>
                <w:rFonts w:ascii="Arial" w:hAnsi="Arial" w:cs="Arial"/>
                <w:sz w:val="20"/>
                <w:szCs w:val="20"/>
                <w:lang w:eastAsia="es-CR"/>
              </w:rPr>
              <w:t>AI-INF-010-2018</w:t>
            </w:r>
          </w:p>
        </w:tc>
        <w:tc>
          <w:tcPr>
            <w:tcW w:w="3807" w:type="pct"/>
            <w:hideMark/>
          </w:tcPr>
          <w:p w14:paraId="43731393" w14:textId="77777777" w:rsidR="009817E9" w:rsidRPr="00AD44B7" w:rsidRDefault="009817E9" w:rsidP="0085163D">
            <w:pPr>
              <w:jc w:val="both"/>
              <w:rPr>
                <w:rFonts w:ascii="Arial" w:hAnsi="Arial" w:cs="Arial"/>
                <w:sz w:val="20"/>
                <w:szCs w:val="20"/>
                <w:lang w:eastAsia="es-CR"/>
              </w:rPr>
            </w:pPr>
            <w:r w:rsidRPr="00AD44B7">
              <w:rPr>
                <w:rFonts w:ascii="Arial" w:hAnsi="Arial" w:cs="Arial"/>
                <w:sz w:val="20"/>
                <w:szCs w:val="20"/>
                <w:lang w:eastAsia="es-CR"/>
              </w:rPr>
              <w:t xml:space="preserve">3.2 Con respecto al clima organizacional, analizar los resultados del Diagnóstico realizado por el centro de Investigación y Formación Hacendaria, crear un plan de mejora, desarrollarlo y darle seguimiento para verificar su cumplimiento.  </w:t>
            </w:r>
          </w:p>
        </w:tc>
      </w:tr>
    </w:tbl>
    <w:p w14:paraId="39247FBE" w14:textId="77777777" w:rsidR="009817E9" w:rsidRPr="009E4FA6" w:rsidRDefault="009817E9" w:rsidP="009817E9">
      <w:pPr>
        <w:autoSpaceDE w:val="0"/>
        <w:autoSpaceDN w:val="0"/>
        <w:adjustRightInd w:val="0"/>
        <w:spacing w:after="0" w:line="240" w:lineRule="auto"/>
        <w:contextualSpacing/>
        <w:jc w:val="both"/>
        <w:rPr>
          <w:rFonts w:ascii="Arial" w:hAnsi="Arial" w:cs="Arial"/>
          <w:sz w:val="18"/>
          <w:szCs w:val="18"/>
          <w:lang w:eastAsia="es-CR"/>
        </w:rPr>
      </w:pPr>
      <w:r w:rsidRPr="0061266D">
        <w:rPr>
          <w:rFonts w:ascii="Arial" w:hAnsi="Arial" w:cs="Arial"/>
          <w:b/>
          <w:sz w:val="18"/>
          <w:szCs w:val="18"/>
          <w:lang w:eastAsia="es-CR"/>
        </w:rPr>
        <w:t>Fuente:</w:t>
      </w:r>
      <w:r w:rsidRPr="009E4FA6">
        <w:rPr>
          <w:rFonts w:ascii="Arial" w:hAnsi="Arial" w:cs="Arial"/>
          <w:sz w:val="18"/>
          <w:szCs w:val="18"/>
          <w:lang w:eastAsia="es-CR"/>
        </w:rPr>
        <w:t xml:space="preserve"> Elabora</w:t>
      </w:r>
      <w:r>
        <w:rPr>
          <w:rFonts w:ascii="Arial" w:hAnsi="Arial" w:cs="Arial"/>
          <w:sz w:val="18"/>
          <w:szCs w:val="18"/>
          <w:lang w:eastAsia="es-CR"/>
        </w:rPr>
        <w:t xml:space="preserve">ción propia con </w:t>
      </w:r>
      <w:r w:rsidRPr="009E4FA6">
        <w:rPr>
          <w:rFonts w:ascii="Arial" w:hAnsi="Arial" w:cs="Arial"/>
          <w:sz w:val="18"/>
          <w:szCs w:val="18"/>
          <w:lang w:eastAsia="es-CR"/>
        </w:rPr>
        <w:t>información recibida de la División de Adeudos Estatales.</w:t>
      </w:r>
    </w:p>
    <w:p w14:paraId="484570D8" w14:textId="77777777" w:rsidR="009817E9" w:rsidRDefault="009817E9" w:rsidP="009817E9">
      <w:pPr>
        <w:autoSpaceDE w:val="0"/>
        <w:autoSpaceDN w:val="0"/>
        <w:adjustRightInd w:val="0"/>
        <w:spacing w:after="0" w:line="240" w:lineRule="auto"/>
        <w:contextualSpacing/>
        <w:jc w:val="both"/>
        <w:rPr>
          <w:rFonts w:ascii="Arial" w:hAnsi="Arial" w:cs="Arial"/>
          <w:lang w:eastAsia="es-CR"/>
        </w:rPr>
      </w:pPr>
    </w:p>
    <w:p w14:paraId="2B06D9A0" w14:textId="77777777" w:rsidR="009817E9" w:rsidRDefault="009817E9">
      <w:pPr>
        <w:rPr>
          <w:rFonts w:ascii="Arial" w:hAnsi="Arial" w:cs="Arial"/>
          <w:lang w:eastAsia="es-CR"/>
        </w:rPr>
      </w:pPr>
      <w:r>
        <w:rPr>
          <w:rFonts w:ascii="Arial" w:hAnsi="Arial" w:cs="Arial"/>
          <w:lang w:eastAsia="es-CR"/>
        </w:rPr>
        <w:br w:type="page"/>
      </w:r>
    </w:p>
    <w:p w14:paraId="40D789B8" w14:textId="77777777" w:rsidR="009817E9" w:rsidRPr="00BB6CF3" w:rsidRDefault="009817E9" w:rsidP="009817E9">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68" w:name="_Toc119920114"/>
      <w:r w:rsidRPr="00BB6CF3">
        <w:rPr>
          <w:rFonts w:ascii="Arial" w:hAnsi="Arial" w:cs="Arial"/>
          <w:b/>
          <w:bCs/>
          <w:color w:val="44546A" w:themeColor="text2"/>
          <w:kern w:val="28"/>
          <w:sz w:val="24"/>
          <w:szCs w:val="24"/>
          <w:lang w:eastAsia="es-ES"/>
        </w:rPr>
        <w:lastRenderedPageBreak/>
        <w:t>ANEXO N°</w:t>
      </w:r>
      <w:r>
        <w:rPr>
          <w:rFonts w:ascii="Arial" w:hAnsi="Arial" w:cs="Arial"/>
          <w:b/>
          <w:bCs/>
          <w:color w:val="44546A" w:themeColor="text2"/>
          <w:kern w:val="28"/>
          <w:sz w:val="24"/>
          <w:szCs w:val="24"/>
          <w:lang w:eastAsia="es-ES"/>
        </w:rPr>
        <w:t>3</w:t>
      </w:r>
      <w:bookmarkEnd w:id="68"/>
    </w:p>
    <w:p w14:paraId="27CB3355" w14:textId="77777777" w:rsidR="009817E9" w:rsidRPr="00BB6CF3" w:rsidRDefault="009817E9" w:rsidP="009817E9">
      <w:pPr>
        <w:autoSpaceDE w:val="0"/>
        <w:autoSpaceDN w:val="0"/>
        <w:adjustRightInd w:val="0"/>
        <w:spacing w:after="0"/>
        <w:jc w:val="center"/>
        <w:rPr>
          <w:rFonts w:ascii="Arial" w:eastAsiaTheme="minorEastAsia" w:hAnsi="Arial" w:cs="Arial"/>
          <w:b/>
          <w:bCs/>
          <w:color w:val="44546A" w:themeColor="text2"/>
          <w:sz w:val="24"/>
          <w:lang w:eastAsia="es-ES"/>
        </w:rPr>
      </w:pPr>
      <w:r>
        <w:rPr>
          <w:rFonts w:ascii="Arial" w:eastAsiaTheme="minorEastAsia" w:hAnsi="Arial" w:cs="Arial"/>
          <w:b/>
          <w:bCs/>
          <w:color w:val="44546A" w:themeColor="text2"/>
          <w:sz w:val="24"/>
          <w:lang w:eastAsia="es-ES"/>
        </w:rPr>
        <w:t>DETALLE DE LAS RECOMENDACIONES CUMPLIDAS</w:t>
      </w:r>
    </w:p>
    <w:p w14:paraId="397D1567" w14:textId="77777777" w:rsidR="009817E9" w:rsidRPr="009817E9" w:rsidRDefault="009817E9" w:rsidP="009817E9">
      <w:pPr>
        <w:autoSpaceDE w:val="0"/>
        <w:autoSpaceDN w:val="0"/>
        <w:adjustRightInd w:val="0"/>
        <w:spacing w:after="0"/>
        <w:jc w:val="center"/>
        <w:rPr>
          <w:rFonts w:ascii="Arial" w:eastAsiaTheme="minorEastAsia" w:hAnsi="Arial" w:cs="Arial"/>
          <w:b/>
          <w:bCs/>
          <w:color w:val="44546A" w:themeColor="text2"/>
          <w:sz w:val="24"/>
          <w:lang w:eastAsia="es-ES"/>
        </w:rPr>
      </w:pPr>
      <w:r w:rsidRPr="009817E9">
        <w:rPr>
          <w:rFonts w:ascii="Arial" w:eastAsiaTheme="minorEastAsia" w:hAnsi="Arial" w:cs="Arial"/>
          <w:b/>
          <w:bCs/>
          <w:color w:val="44546A" w:themeColor="text2"/>
          <w:sz w:val="24"/>
          <w:lang w:eastAsia="es-ES"/>
        </w:rPr>
        <w:t>A AGOSTO DE 2022</w:t>
      </w:r>
    </w:p>
    <w:tbl>
      <w:tblPr>
        <w:tblStyle w:val="Tablaconcuadrcula"/>
        <w:tblW w:w="5000" w:type="pct"/>
        <w:tblLook w:val="04A0" w:firstRow="1" w:lastRow="0" w:firstColumn="1" w:lastColumn="0" w:noHBand="0" w:noVBand="1"/>
      </w:tblPr>
      <w:tblGrid>
        <w:gridCol w:w="2106"/>
        <w:gridCol w:w="6722"/>
      </w:tblGrid>
      <w:tr w:rsidR="009817E9" w:rsidRPr="00AD44B7" w14:paraId="6567C9AF" w14:textId="77777777" w:rsidTr="0085163D">
        <w:trPr>
          <w:trHeight w:val="288"/>
          <w:tblHeader/>
        </w:trPr>
        <w:tc>
          <w:tcPr>
            <w:tcW w:w="1193" w:type="pct"/>
            <w:shd w:val="clear" w:color="auto" w:fill="44546A" w:themeFill="text2"/>
            <w:noWrap/>
            <w:hideMark/>
          </w:tcPr>
          <w:p w14:paraId="0EAADBE0" w14:textId="77777777" w:rsidR="009817E9" w:rsidRPr="00AD44B7" w:rsidRDefault="009817E9" w:rsidP="0085163D">
            <w:pPr>
              <w:jc w:val="center"/>
              <w:rPr>
                <w:rFonts w:ascii="Arial" w:hAnsi="Arial" w:cs="Arial"/>
                <w:b/>
                <w:bCs/>
                <w:color w:val="FFFFFF" w:themeColor="background1"/>
                <w:sz w:val="20"/>
                <w:szCs w:val="20"/>
                <w:lang w:eastAsia="es-CR"/>
              </w:rPr>
            </w:pPr>
            <w:r w:rsidRPr="00AD44B7">
              <w:rPr>
                <w:rFonts w:ascii="Arial" w:hAnsi="Arial" w:cs="Arial"/>
                <w:b/>
                <w:bCs/>
                <w:color w:val="FFFFFF" w:themeColor="background1"/>
                <w:sz w:val="20"/>
                <w:szCs w:val="20"/>
                <w:lang w:eastAsia="es-CR"/>
              </w:rPr>
              <w:t>Número de Informe</w:t>
            </w:r>
          </w:p>
        </w:tc>
        <w:tc>
          <w:tcPr>
            <w:tcW w:w="3807" w:type="pct"/>
            <w:shd w:val="clear" w:color="auto" w:fill="44546A" w:themeFill="text2"/>
            <w:noWrap/>
            <w:hideMark/>
          </w:tcPr>
          <w:p w14:paraId="4BC1D07B" w14:textId="77777777" w:rsidR="009817E9" w:rsidRPr="00AD44B7" w:rsidRDefault="009817E9" w:rsidP="0085163D">
            <w:pPr>
              <w:jc w:val="center"/>
              <w:rPr>
                <w:rFonts w:ascii="Arial" w:hAnsi="Arial" w:cs="Arial"/>
                <w:b/>
                <w:bCs/>
                <w:color w:val="FFFFFF" w:themeColor="background1"/>
                <w:sz w:val="20"/>
                <w:szCs w:val="20"/>
                <w:lang w:eastAsia="es-CR"/>
              </w:rPr>
            </w:pPr>
            <w:r w:rsidRPr="00AD44B7">
              <w:rPr>
                <w:rFonts w:ascii="Arial" w:hAnsi="Arial" w:cs="Arial"/>
                <w:b/>
                <w:bCs/>
                <w:color w:val="FFFFFF" w:themeColor="background1"/>
                <w:sz w:val="20"/>
                <w:szCs w:val="20"/>
                <w:lang w:eastAsia="es-CR"/>
              </w:rPr>
              <w:t xml:space="preserve">Recomendaciones </w:t>
            </w:r>
            <w:r>
              <w:rPr>
                <w:rFonts w:ascii="Arial" w:hAnsi="Arial" w:cs="Arial"/>
                <w:b/>
                <w:bCs/>
                <w:color w:val="FFFFFF" w:themeColor="background1"/>
                <w:sz w:val="20"/>
                <w:szCs w:val="20"/>
                <w:lang w:eastAsia="es-CR"/>
              </w:rPr>
              <w:t>p</w:t>
            </w:r>
            <w:r w:rsidRPr="00AD44B7">
              <w:rPr>
                <w:rFonts w:ascii="Arial" w:hAnsi="Arial" w:cs="Arial"/>
                <w:b/>
                <w:bCs/>
                <w:color w:val="FFFFFF" w:themeColor="background1"/>
                <w:sz w:val="20"/>
                <w:szCs w:val="20"/>
                <w:lang w:eastAsia="es-CR"/>
              </w:rPr>
              <w:t>endientes</w:t>
            </w:r>
          </w:p>
        </w:tc>
      </w:tr>
      <w:tr w:rsidR="009817E9" w:rsidRPr="00AD44B7" w14:paraId="23C91E12" w14:textId="77777777" w:rsidTr="0085163D">
        <w:trPr>
          <w:trHeight w:val="3540"/>
        </w:trPr>
        <w:tc>
          <w:tcPr>
            <w:tcW w:w="1193" w:type="pct"/>
            <w:noWrap/>
            <w:vAlign w:val="center"/>
          </w:tcPr>
          <w:p w14:paraId="59B137F5" w14:textId="77777777" w:rsidR="009817E9" w:rsidRPr="00AD44B7" w:rsidRDefault="009817E9" w:rsidP="0085163D">
            <w:pPr>
              <w:jc w:val="center"/>
              <w:rPr>
                <w:rFonts w:ascii="Arial" w:hAnsi="Arial" w:cs="Arial"/>
                <w:sz w:val="20"/>
                <w:szCs w:val="20"/>
                <w:lang w:eastAsia="es-CR"/>
              </w:rPr>
            </w:pPr>
            <w:r w:rsidRPr="006659EB">
              <w:rPr>
                <w:rFonts w:ascii="Arial" w:eastAsia="Times New Roman" w:hAnsi="Arial" w:cs="Arial"/>
                <w:bCs/>
                <w:color w:val="000000"/>
                <w:sz w:val="20"/>
                <w:lang w:eastAsia="es-CR"/>
              </w:rPr>
              <w:t>INF-DGAI-024-2012</w:t>
            </w:r>
          </w:p>
        </w:tc>
        <w:tc>
          <w:tcPr>
            <w:tcW w:w="3807" w:type="pct"/>
          </w:tcPr>
          <w:p w14:paraId="7EBC95BB" w14:textId="77777777" w:rsidR="009817E9" w:rsidRPr="00AD44B7" w:rsidRDefault="009817E9" w:rsidP="0085163D">
            <w:pPr>
              <w:jc w:val="both"/>
              <w:rPr>
                <w:rFonts w:ascii="Arial" w:hAnsi="Arial" w:cs="Arial"/>
                <w:sz w:val="20"/>
                <w:szCs w:val="20"/>
                <w:lang w:eastAsia="es-CR"/>
              </w:rPr>
            </w:pPr>
            <w:r w:rsidRPr="006659EB">
              <w:rPr>
                <w:rFonts w:ascii="Arial" w:eastAsia="Times New Roman" w:hAnsi="Arial" w:cs="Arial"/>
                <w:color w:val="000000"/>
                <w:sz w:val="20"/>
                <w:lang w:eastAsia="es-CR"/>
              </w:rPr>
              <w:t>4.1 Efectuar  una revisión de los casos que a la fecha no se ha podido notificar la nota que indica el artículo 171 del Código de Normas y Procedimientos Tributarios, a fin de que se analicen los casos y de corresponder se proceda con la justificación para proponer una recomendación de incobrabilidad según corresponda, lo anterior de conformidad con lo que establece el Manual de procedimiento de Adeudos Estatales aprobado en Enero del 2012, en el apartado 2.6 y 2.7 del Procedimiento "Gestión de Cobro Judicial". Para tales efectos es necesario que se elabore un plan y cronograma que permita establecer prioridades, actividades y fechas para solventar esta situación. Asimismo, se realice un diagnóstico para identificar las diferentes razones que imposibilita notificar a los deudores, a fin de darle solución a las mismas en forma coordinada con las Dependencias que remiten los adeudos.</w:t>
            </w:r>
            <w:r w:rsidRPr="006659EB">
              <w:rPr>
                <w:rFonts w:ascii="Arial" w:eastAsia="Times New Roman" w:hAnsi="Arial" w:cs="Arial"/>
                <w:color w:val="000000"/>
                <w:sz w:val="20"/>
                <w:lang w:eastAsia="es-CR"/>
              </w:rPr>
              <w:br/>
            </w:r>
            <w:r w:rsidRPr="006659EB">
              <w:rPr>
                <w:rFonts w:ascii="Arial" w:eastAsia="Times New Roman" w:hAnsi="Arial" w:cs="Arial"/>
                <w:color w:val="000000"/>
                <w:sz w:val="20"/>
                <w:lang w:eastAsia="es-CR"/>
              </w:rPr>
              <w:br/>
              <w:t>4.2 Elaborar un plan de trabajo y su respectivo cronograma para que los abogados del Departamento de Cobro Judicial presenten la demanda judicial de todos aquellos casos que se ha notificado la nota que señala el artículo 171 del Código de Normas y Procedimientos Tributarios y que aún están pendientes de ese trámite, considerando prioridades según su monto o riesgo de prescripción, a fin de evitar que los deudores puedan realizar gestiones como adelantar el vencimiento del plazo social de las empresas, traslado de bienes y de fondos a otras cuentas, incluso el cambio de domicilio a fin de que no se pueda notificar la resolución intimatoria por parte del Tribunal respectivo</w:t>
            </w:r>
            <w:r>
              <w:rPr>
                <w:rFonts w:ascii="Arial" w:eastAsia="Times New Roman" w:hAnsi="Arial" w:cs="Arial"/>
                <w:color w:val="000000"/>
                <w:sz w:val="20"/>
                <w:lang w:eastAsia="es-CR"/>
              </w:rPr>
              <w:t>.</w:t>
            </w:r>
          </w:p>
        </w:tc>
      </w:tr>
      <w:tr w:rsidR="009817E9" w:rsidRPr="00AD44B7" w14:paraId="630242AE" w14:textId="77777777" w:rsidTr="0085163D">
        <w:trPr>
          <w:trHeight w:val="973"/>
        </w:trPr>
        <w:tc>
          <w:tcPr>
            <w:tcW w:w="1193" w:type="pct"/>
            <w:noWrap/>
            <w:vAlign w:val="center"/>
          </w:tcPr>
          <w:p w14:paraId="75936B2F" w14:textId="77777777" w:rsidR="009817E9" w:rsidRPr="006659EB" w:rsidRDefault="009817E9" w:rsidP="0085163D">
            <w:pPr>
              <w:jc w:val="center"/>
              <w:rPr>
                <w:rFonts w:ascii="Arial" w:eastAsia="Times New Roman" w:hAnsi="Arial" w:cs="Arial"/>
                <w:bCs/>
                <w:color w:val="000000"/>
                <w:sz w:val="20"/>
                <w:lang w:eastAsia="es-CR"/>
              </w:rPr>
            </w:pPr>
            <w:r w:rsidRPr="006659EB">
              <w:rPr>
                <w:rFonts w:ascii="Arial" w:eastAsia="Times New Roman" w:hAnsi="Arial" w:cs="Arial"/>
                <w:bCs/>
                <w:color w:val="000000"/>
                <w:sz w:val="20"/>
                <w:lang w:eastAsia="es-CR"/>
              </w:rPr>
              <w:t>AI-INF-007-2017</w:t>
            </w:r>
          </w:p>
        </w:tc>
        <w:tc>
          <w:tcPr>
            <w:tcW w:w="3807" w:type="pct"/>
          </w:tcPr>
          <w:p w14:paraId="3383D154" w14:textId="77777777" w:rsidR="009817E9" w:rsidRPr="006659EB" w:rsidRDefault="009817E9" w:rsidP="0085163D">
            <w:pPr>
              <w:jc w:val="both"/>
              <w:rPr>
                <w:rFonts w:ascii="Arial" w:eastAsia="Times New Roman" w:hAnsi="Arial" w:cs="Arial"/>
                <w:color w:val="000000"/>
                <w:sz w:val="20"/>
                <w:lang w:eastAsia="es-CR"/>
              </w:rPr>
            </w:pPr>
            <w:r w:rsidRPr="00B30BED">
              <w:rPr>
                <w:rFonts w:ascii="Arial" w:eastAsia="Times New Roman" w:hAnsi="Arial" w:cs="Arial"/>
                <w:color w:val="000000"/>
                <w:sz w:val="20"/>
                <w:lang w:eastAsia="es-CR"/>
              </w:rPr>
              <w:t>4.4 Indagar si la ausencia del 3 de julio de la señora Martha Monge Salazar, se encuentra debidamente justificada ante la instancia superior competente, de lo contrario proceder conforme lo indica el Reglamento Autónomo de Servicio del Ministerio de Hacienda</w:t>
            </w:r>
          </w:p>
        </w:tc>
      </w:tr>
      <w:tr w:rsidR="009817E9" w:rsidRPr="00AD44B7" w14:paraId="3E099E31" w14:textId="77777777" w:rsidTr="0085163D">
        <w:trPr>
          <w:trHeight w:val="2121"/>
        </w:trPr>
        <w:tc>
          <w:tcPr>
            <w:tcW w:w="1193" w:type="pct"/>
            <w:noWrap/>
            <w:vAlign w:val="center"/>
          </w:tcPr>
          <w:p w14:paraId="68C4EBC5" w14:textId="77777777" w:rsidR="009817E9" w:rsidRPr="006659EB" w:rsidRDefault="009817E9" w:rsidP="0085163D">
            <w:pPr>
              <w:jc w:val="center"/>
              <w:rPr>
                <w:rFonts w:ascii="Arial" w:eastAsia="Times New Roman" w:hAnsi="Arial" w:cs="Arial"/>
                <w:bCs/>
                <w:color w:val="000000"/>
                <w:sz w:val="20"/>
                <w:lang w:eastAsia="es-CR"/>
              </w:rPr>
            </w:pPr>
            <w:r w:rsidRPr="006659EB">
              <w:rPr>
                <w:rFonts w:ascii="Arial" w:eastAsia="Times New Roman" w:hAnsi="Arial" w:cs="Arial"/>
                <w:bCs/>
                <w:color w:val="000000"/>
                <w:sz w:val="20"/>
                <w:lang w:eastAsia="es-CR"/>
              </w:rPr>
              <w:t>AI-INF-024-2017</w:t>
            </w:r>
          </w:p>
        </w:tc>
        <w:tc>
          <w:tcPr>
            <w:tcW w:w="3807" w:type="pct"/>
          </w:tcPr>
          <w:p w14:paraId="6595C73F" w14:textId="77777777" w:rsidR="009817E9" w:rsidRPr="00B30BED" w:rsidRDefault="009817E9" w:rsidP="0085163D">
            <w:pPr>
              <w:jc w:val="both"/>
              <w:rPr>
                <w:rFonts w:ascii="Arial" w:eastAsia="Times New Roman" w:hAnsi="Arial" w:cs="Arial"/>
                <w:color w:val="000000"/>
                <w:sz w:val="20"/>
                <w:lang w:eastAsia="es-CR"/>
              </w:rPr>
            </w:pPr>
            <w:r w:rsidRPr="00B30BED">
              <w:rPr>
                <w:rFonts w:ascii="Arial" w:eastAsia="Times New Roman" w:hAnsi="Arial" w:cs="Arial"/>
                <w:color w:val="000000"/>
                <w:sz w:val="20"/>
                <w:lang w:eastAsia="es-CR"/>
              </w:rPr>
              <w:t>4.1. Ordenar que se revise lo expuesto en los puntos 2.1 y 2.2 del presente informe, relacionado con la organización de esa División, para determinar los motivos del porqué no se está realizando la función relacionada con el control a posibles distorsiones en la transparencia de las actuaciones de los funcionarios del Área de Ingresos y que se tomen las medidas correctivas que correspondan. Asimismo, que se tomen las acciones pertinentes sobre aquellas actividades que se establecen en los planes anuales y que no hay correspondencia directa con las establecidas para esta División.</w:t>
            </w:r>
          </w:p>
        </w:tc>
      </w:tr>
      <w:tr w:rsidR="009817E9" w:rsidRPr="00AD44B7" w14:paraId="1E53DF26" w14:textId="77777777" w:rsidTr="0085163D">
        <w:trPr>
          <w:trHeight w:val="1824"/>
        </w:trPr>
        <w:tc>
          <w:tcPr>
            <w:tcW w:w="1193" w:type="pct"/>
            <w:noWrap/>
            <w:vAlign w:val="center"/>
          </w:tcPr>
          <w:p w14:paraId="1206A3A2" w14:textId="77777777" w:rsidR="009817E9" w:rsidRPr="006659EB" w:rsidRDefault="009817E9" w:rsidP="0085163D">
            <w:pPr>
              <w:jc w:val="center"/>
              <w:rPr>
                <w:rFonts w:ascii="Arial" w:eastAsia="Times New Roman" w:hAnsi="Arial" w:cs="Arial"/>
                <w:bCs/>
                <w:color w:val="000000"/>
                <w:sz w:val="20"/>
                <w:lang w:eastAsia="es-CR"/>
              </w:rPr>
            </w:pPr>
            <w:r w:rsidRPr="006659EB">
              <w:rPr>
                <w:rFonts w:ascii="Arial" w:eastAsia="Times New Roman" w:hAnsi="Arial" w:cs="Arial"/>
                <w:bCs/>
                <w:color w:val="000000"/>
                <w:sz w:val="20"/>
                <w:lang w:eastAsia="es-CR"/>
              </w:rPr>
              <w:t>AI-INF-010-2018</w:t>
            </w:r>
          </w:p>
        </w:tc>
        <w:tc>
          <w:tcPr>
            <w:tcW w:w="3807" w:type="pct"/>
          </w:tcPr>
          <w:p w14:paraId="23C02B8F" w14:textId="77777777" w:rsidR="009817E9" w:rsidRPr="00B30BED" w:rsidRDefault="009817E9" w:rsidP="0085163D">
            <w:pPr>
              <w:jc w:val="both"/>
              <w:rPr>
                <w:rFonts w:ascii="Arial" w:eastAsia="Times New Roman" w:hAnsi="Arial" w:cs="Arial"/>
                <w:color w:val="000000"/>
                <w:sz w:val="20"/>
                <w:lang w:eastAsia="es-CR"/>
              </w:rPr>
            </w:pPr>
            <w:r w:rsidRPr="00B30BED">
              <w:rPr>
                <w:rFonts w:ascii="Arial" w:eastAsia="Times New Roman" w:hAnsi="Arial" w:cs="Arial"/>
                <w:color w:val="000000"/>
                <w:sz w:val="20"/>
                <w:lang w:eastAsia="es-CR"/>
              </w:rPr>
              <w:t>3.1. Ordenar la realización de las gestiones necesarias para que contar con un análisis general de la misión, metas, objetivos, procesos, procedimientos, recursos humanos, presupuestos, entre otros, de la División de Adeudos Estatales de la Dirección General de Hacienda, y específicamente del Departamento de Cobro Judicial, con el objetivo de fortalecer el Ambiente de control mediante el replanteamiento de su razón de ser y de lo que se necesita para el logro de los objetivos y el cumplimiento de su misión dentro del Ministerio de Hacienda</w:t>
            </w:r>
            <w:r>
              <w:rPr>
                <w:rFonts w:ascii="Arial" w:eastAsia="Times New Roman" w:hAnsi="Arial" w:cs="Arial"/>
                <w:color w:val="000000"/>
                <w:sz w:val="20"/>
                <w:lang w:eastAsia="es-CR"/>
              </w:rPr>
              <w:t>.</w:t>
            </w:r>
          </w:p>
        </w:tc>
      </w:tr>
    </w:tbl>
    <w:p w14:paraId="12A47240" w14:textId="77777777" w:rsidR="009817E9" w:rsidRPr="009E4FA6" w:rsidRDefault="009817E9" w:rsidP="009817E9">
      <w:pPr>
        <w:autoSpaceDE w:val="0"/>
        <w:autoSpaceDN w:val="0"/>
        <w:adjustRightInd w:val="0"/>
        <w:spacing w:after="0" w:line="240" w:lineRule="auto"/>
        <w:contextualSpacing/>
        <w:jc w:val="both"/>
        <w:rPr>
          <w:rFonts w:ascii="Arial" w:hAnsi="Arial" w:cs="Arial"/>
          <w:sz w:val="18"/>
          <w:szCs w:val="18"/>
          <w:lang w:eastAsia="es-CR"/>
        </w:rPr>
      </w:pPr>
      <w:r w:rsidRPr="0061266D">
        <w:rPr>
          <w:rFonts w:ascii="Arial" w:hAnsi="Arial" w:cs="Arial"/>
          <w:b/>
          <w:sz w:val="18"/>
          <w:szCs w:val="18"/>
          <w:lang w:eastAsia="es-CR"/>
        </w:rPr>
        <w:t>Fuente:</w:t>
      </w:r>
      <w:r w:rsidRPr="009E4FA6">
        <w:rPr>
          <w:rFonts w:ascii="Arial" w:hAnsi="Arial" w:cs="Arial"/>
          <w:sz w:val="18"/>
          <w:szCs w:val="18"/>
          <w:lang w:eastAsia="es-CR"/>
        </w:rPr>
        <w:t xml:space="preserve"> Elabora</w:t>
      </w:r>
      <w:r>
        <w:rPr>
          <w:rFonts w:ascii="Arial" w:hAnsi="Arial" w:cs="Arial"/>
          <w:sz w:val="18"/>
          <w:szCs w:val="18"/>
          <w:lang w:eastAsia="es-CR"/>
        </w:rPr>
        <w:t xml:space="preserve">ción propia con </w:t>
      </w:r>
      <w:r w:rsidRPr="009E4FA6">
        <w:rPr>
          <w:rFonts w:ascii="Arial" w:hAnsi="Arial" w:cs="Arial"/>
          <w:sz w:val="18"/>
          <w:szCs w:val="18"/>
          <w:lang w:eastAsia="es-CR"/>
        </w:rPr>
        <w:t>información recibida de la División de Adeudos Estatales.</w:t>
      </w:r>
    </w:p>
    <w:p w14:paraId="49BFB2A1" w14:textId="77777777" w:rsidR="00145D6B" w:rsidRDefault="00145D6B" w:rsidP="00145D6B">
      <w:pPr>
        <w:rPr>
          <w:rFonts w:ascii="Arial" w:hAnsi="Arial" w:cs="Arial"/>
          <w:sz w:val="24"/>
          <w:szCs w:val="24"/>
        </w:rPr>
      </w:pPr>
    </w:p>
    <w:sectPr w:rsidR="00145D6B" w:rsidSect="00F62262">
      <w:headerReference w:type="default" r:id="rId13"/>
      <w:footerReference w:type="default" r:id="rId14"/>
      <w:pgSz w:w="12240" w:h="15840" w:code="1"/>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78A4" w14:textId="77777777" w:rsidR="007A1910" w:rsidRDefault="007A1910" w:rsidP="00B17BEF">
      <w:pPr>
        <w:spacing w:after="0" w:line="240" w:lineRule="auto"/>
      </w:pPr>
      <w:r>
        <w:separator/>
      </w:r>
    </w:p>
  </w:endnote>
  <w:endnote w:type="continuationSeparator" w:id="0">
    <w:p w14:paraId="33F68D6D" w14:textId="77777777" w:rsidR="007A1910" w:rsidRDefault="007A1910"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45AF" w14:textId="77777777" w:rsidR="007A1910" w:rsidRPr="00A222DC" w:rsidRDefault="007A1910" w:rsidP="00961C8F">
    <w:pPr>
      <w:spacing w:after="0"/>
      <w:contextualSpacing/>
      <w:jc w:val="center"/>
      <w:rPr>
        <w:rFonts w:ascii="Arial" w:hAnsi="Arial" w:cs="Arial"/>
        <w:sz w:val="16"/>
        <w:szCs w:val="16"/>
      </w:rPr>
    </w:pPr>
    <w:r w:rsidRPr="00A222DC">
      <w:rPr>
        <w:rFonts w:ascii="Arial" w:hAnsi="Arial" w:cs="Arial"/>
        <w:sz w:val="16"/>
        <w:szCs w:val="16"/>
      </w:rPr>
      <w:t xml:space="preserve">Av. 2da, Calles 1 y 3, diagonal al Teatro Nacional, San José, Costa Rica. </w:t>
    </w:r>
  </w:p>
  <w:sdt>
    <w:sdtPr>
      <w:rPr>
        <w:rStyle w:val="Nmerodepgina"/>
        <w:rFonts w:ascii="Arial" w:hAnsi="Arial" w:cs="Arial"/>
      </w:rPr>
      <w:id w:val="877196930"/>
      <w:docPartObj>
        <w:docPartGallery w:val="Page Numbers (Bottom of Page)"/>
        <w:docPartUnique/>
      </w:docPartObj>
    </w:sdtPr>
    <w:sdtEndPr>
      <w:rPr>
        <w:rStyle w:val="Nmerodepgina"/>
        <w:color w:val="404040" w:themeColor="text1" w:themeTint="BF"/>
        <w:sz w:val="18"/>
        <w:szCs w:val="18"/>
      </w:rPr>
    </w:sdtEndPr>
    <w:sdtContent>
      <w:p w14:paraId="67293D70" w14:textId="77777777" w:rsidR="007A1910" w:rsidRPr="00A222DC" w:rsidRDefault="007A1910" w:rsidP="00961C8F">
        <w:pPr>
          <w:pStyle w:val="Piedepgina"/>
          <w:framePr w:wrap="none" w:vAnchor="text" w:hAnchor="margin" w:xAlign="right" w:y="1"/>
          <w:contextualSpacing/>
          <w:rPr>
            <w:rStyle w:val="Nmerodepgina"/>
            <w:rFonts w:ascii="Arial" w:hAnsi="Arial" w:cs="Arial"/>
            <w:sz w:val="18"/>
            <w:szCs w:val="18"/>
          </w:rPr>
        </w:pPr>
        <w:r w:rsidRPr="00A222DC">
          <w:rPr>
            <w:rStyle w:val="Nmerodepgina"/>
            <w:rFonts w:ascii="Arial" w:hAnsi="Arial" w:cs="Arial"/>
            <w:sz w:val="18"/>
            <w:szCs w:val="18"/>
          </w:rPr>
          <w:fldChar w:fldCharType="begin"/>
        </w:r>
        <w:r w:rsidRPr="00A222DC">
          <w:rPr>
            <w:rStyle w:val="Nmerodepgina"/>
            <w:rFonts w:ascii="Arial" w:hAnsi="Arial" w:cs="Arial"/>
            <w:sz w:val="18"/>
            <w:szCs w:val="18"/>
          </w:rPr>
          <w:instrText xml:space="preserve"> PAGE </w:instrText>
        </w:r>
        <w:r w:rsidRPr="00A222DC">
          <w:rPr>
            <w:rStyle w:val="Nmerodepgina"/>
            <w:rFonts w:ascii="Arial" w:hAnsi="Arial" w:cs="Arial"/>
            <w:sz w:val="18"/>
            <w:szCs w:val="18"/>
          </w:rPr>
          <w:fldChar w:fldCharType="separate"/>
        </w:r>
        <w:r>
          <w:rPr>
            <w:rStyle w:val="Nmerodepgina"/>
            <w:rFonts w:ascii="Arial" w:hAnsi="Arial" w:cs="Arial"/>
            <w:sz w:val="18"/>
            <w:szCs w:val="18"/>
          </w:rPr>
          <w:t>5</w:t>
        </w:r>
        <w:r w:rsidRPr="00A222DC">
          <w:rPr>
            <w:rStyle w:val="Nmerodepgina"/>
            <w:rFonts w:ascii="Arial" w:hAnsi="Arial" w:cs="Arial"/>
            <w:sz w:val="18"/>
            <w:szCs w:val="18"/>
          </w:rPr>
          <w:fldChar w:fldCharType="end"/>
        </w:r>
      </w:p>
    </w:sdtContent>
  </w:sdt>
  <w:p w14:paraId="3426DD10" w14:textId="77777777" w:rsidR="007A1910" w:rsidRPr="00A222DC" w:rsidRDefault="007A1910" w:rsidP="00961C8F">
    <w:pPr>
      <w:spacing w:after="0"/>
      <w:contextualSpacing/>
      <w:jc w:val="center"/>
      <w:rPr>
        <w:rFonts w:ascii="Arial" w:hAnsi="Arial" w:cs="Arial"/>
        <w:sz w:val="16"/>
        <w:szCs w:val="16"/>
      </w:rPr>
    </w:pPr>
    <w:r w:rsidRPr="00A222DC">
      <w:rPr>
        <w:rFonts w:ascii="Arial" w:hAnsi="Arial" w:cs="Arial"/>
        <w:sz w:val="16"/>
        <w:szCs w:val="16"/>
      </w:rPr>
      <w:t xml:space="preserve"> Tel: (506)</w:t>
    </w:r>
    <w:r>
      <w:rPr>
        <w:rFonts w:ascii="Arial" w:hAnsi="Arial" w:cs="Arial"/>
        <w:sz w:val="16"/>
        <w:szCs w:val="16"/>
      </w:rPr>
      <w:t xml:space="preserve"> </w:t>
    </w:r>
    <w:r w:rsidRPr="00A222DC">
      <w:rPr>
        <w:rFonts w:ascii="Arial" w:hAnsi="Arial" w:cs="Arial"/>
        <w:sz w:val="16"/>
        <w:szCs w:val="16"/>
      </w:rPr>
      <w:t xml:space="preserve">2539-6684 -  </w:t>
    </w:r>
    <w:hyperlink r:id="rId1" w:history="1">
      <w:r w:rsidRPr="00A222DC">
        <w:rPr>
          <w:rStyle w:val="Hipervnculo"/>
          <w:rFonts w:ascii="Arial" w:hAnsi="Arial" w:cs="Arial"/>
          <w:sz w:val="16"/>
          <w:szCs w:val="16"/>
        </w:rPr>
        <w:t>www.hacienda.go.cr</w:t>
      </w:r>
    </w:hyperlink>
    <w:r w:rsidRPr="00A222D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486C" w14:textId="77777777" w:rsidR="007A1910" w:rsidRDefault="007A1910" w:rsidP="00B17BEF">
      <w:pPr>
        <w:spacing w:after="0" w:line="240" w:lineRule="auto"/>
      </w:pPr>
      <w:r>
        <w:separator/>
      </w:r>
    </w:p>
  </w:footnote>
  <w:footnote w:type="continuationSeparator" w:id="0">
    <w:p w14:paraId="4914FF38" w14:textId="77777777" w:rsidR="007A1910" w:rsidRDefault="007A1910" w:rsidP="00B17BEF">
      <w:pPr>
        <w:spacing w:after="0" w:line="240" w:lineRule="auto"/>
      </w:pPr>
      <w:r>
        <w:continuationSeparator/>
      </w:r>
    </w:p>
  </w:footnote>
  <w:footnote w:id="1">
    <w:p w14:paraId="18C19890" w14:textId="77777777" w:rsidR="007A1910" w:rsidRPr="004B00AB" w:rsidRDefault="007A1910" w:rsidP="0061266D">
      <w:pPr>
        <w:autoSpaceDE w:val="0"/>
        <w:autoSpaceDN w:val="0"/>
        <w:adjustRightInd w:val="0"/>
        <w:spacing w:after="0" w:line="240" w:lineRule="auto"/>
        <w:jc w:val="both"/>
        <w:rPr>
          <w:rFonts w:ascii="Arial" w:hAnsi="Arial" w:cs="Arial"/>
        </w:rPr>
      </w:pPr>
      <w:r w:rsidRPr="004B00AB">
        <w:rPr>
          <w:rStyle w:val="Refdenotaalpie"/>
          <w:rFonts w:ascii="Arial" w:hAnsi="Arial" w:cs="Arial"/>
        </w:rPr>
        <w:footnoteRef/>
      </w:r>
      <w:r w:rsidRPr="004B00AB">
        <w:rPr>
          <w:rFonts w:ascii="Arial" w:hAnsi="Arial" w:cs="Arial"/>
        </w:rPr>
        <w:t xml:space="preserve"> </w:t>
      </w:r>
      <w:r w:rsidRPr="004B00AB">
        <w:rPr>
          <w:rFonts w:ascii="Arial" w:eastAsiaTheme="minorEastAsia" w:hAnsi="Arial" w:cs="Arial"/>
          <w:sz w:val="18"/>
          <w:szCs w:val="18"/>
          <w:lang w:val="es-ES" w:eastAsia="es-ES"/>
        </w:rPr>
        <w:t>Publicado en el Alcance N°202 a La Gaceta N°181 del 23 de setiembre de 2022.</w:t>
      </w:r>
    </w:p>
    <w:p w14:paraId="560698E3" w14:textId="77777777" w:rsidR="007A1910" w:rsidRPr="004B00AB" w:rsidRDefault="007A1910" w:rsidP="0061266D">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D991" w14:textId="77777777" w:rsidR="007A1910" w:rsidRDefault="007A1910" w:rsidP="00961C8F">
    <w:pPr>
      <w:pStyle w:val="Encabezado"/>
      <w:jc w:val="center"/>
    </w:pPr>
    <w:r>
      <w:rPr>
        <w:noProof/>
      </w:rPr>
      <w:drawing>
        <wp:anchor distT="0" distB="0" distL="114300" distR="114300" simplePos="0" relativeHeight="251660288" behindDoc="0" locked="0" layoutInCell="1" allowOverlap="1" wp14:anchorId="41F6FCAF" wp14:editId="3B48A542">
          <wp:simplePos x="0" y="0"/>
          <wp:positionH relativeFrom="column">
            <wp:posOffset>4911437</wp:posOffset>
          </wp:positionH>
          <wp:positionV relativeFrom="paragraph">
            <wp:posOffset>-635</wp:posOffset>
          </wp:positionV>
          <wp:extent cx="1282700" cy="65383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9264" behindDoc="1" locked="0" layoutInCell="1" allowOverlap="1" wp14:anchorId="6CF8AD17" wp14:editId="1B153C93">
          <wp:simplePos x="0" y="0"/>
          <wp:positionH relativeFrom="column">
            <wp:posOffset>-457200</wp:posOffset>
          </wp:positionH>
          <wp:positionV relativeFrom="paragraph">
            <wp:posOffset>132080</wp:posOffset>
          </wp:positionV>
          <wp:extent cx="1046480" cy="467360"/>
          <wp:effectExtent l="0" t="0" r="0" b="2540"/>
          <wp:wrapNone/>
          <wp:docPr id="9" name="Imagen 9"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15D60" w14:textId="77777777" w:rsidR="007A1910" w:rsidRDefault="007A1910" w:rsidP="00961C8F">
    <w:pPr>
      <w:pStyle w:val="Encabezado"/>
      <w:jc w:val="center"/>
    </w:pPr>
  </w:p>
  <w:p w14:paraId="23681394" w14:textId="727FAC0B" w:rsidR="007A1910" w:rsidRPr="003C7BE7" w:rsidRDefault="007A1910" w:rsidP="00961C8F">
    <w:pPr>
      <w:pStyle w:val="Encabezado"/>
      <w:jc w:val="center"/>
      <w:rPr>
        <w:rFonts w:ascii="Arial" w:hAnsi="Arial" w:cs="Arial"/>
        <w:color w:val="404040" w:themeColor="text1" w:themeTint="BF"/>
        <w:sz w:val="18"/>
        <w:szCs w:val="18"/>
      </w:rPr>
    </w:pPr>
    <w:r w:rsidRPr="003C7BE7">
      <w:rPr>
        <w:rFonts w:ascii="Arial" w:hAnsi="Arial" w:cs="Arial"/>
        <w:color w:val="404040" w:themeColor="text1" w:themeTint="BF"/>
        <w:sz w:val="18"/>
        <w:szCs w:val="18"/>
      </w:rPr>
      <w:t>AI-INF-</w:t>
    </w:r>
    <w:r>
      <w:rPr>
        <w:rFonts w:ascii="Arial" w:hAnsi="Arial" w:cs="Arial"/>
        <w:color w:val="404040" w:themeColor="text1" w:themeTint="BF"/>
        <w:sz w:val="18"/>
        <w:szCs w:val="18"/>
      </w:rPr>
      <w:t>CI</w:t>
    </w:r>
    <w:r w:rsidRPr="003C7BE7">
      <w:rPr>
        <w:rFonts w:ascii="Arial" w:hAnsi="Arial" w:cs="Arial"/>
        <w:color w:val="404040" w:themeColor="text1" w:themeTint="BF"/>
        <w:sz w:val="18"/>
        <w:szCs w:val="18"/>
      </w:rPr>
      <w:t>-</w:t>
    </w:r>
    <w:r>
      <w:rPr>
        <w:rFonts w:ascii="Arial" w:hAnsi="Arial" w:cs="Arial"/>
        <w:color w:val="404040" w:themeColor="text1" w:themeTint="BF"/>
        <w:sz w:val="18"/>
        <w:szCs w:val="18"/>
      </w:rPr>
      <w:t>017-2022</w:t>
    </w:r>
  </w:p>
  <w:p w14:paraId="6AC3D73A" w14:textId="77777777" w:rsidR="007A1910" w:rsidRPr="00BD60D9" w:rsidRDefault="007A1910" w:rsidP="00961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65"/>
        </w:tabs>
        <w:ind w:left="497" w:hanging="432"/>
      </w:pPr>
      <w:rPr>
        <w:b/>
        <w:i w:val="0"/>
        <w:color w:val="000000" w:themeColor="text1"/>
        <w:sz w:val="22"/>
        <w:szCs w:val="22"/>
      </w:rPr>
    </w:lvl>
    <w:lvl w:ilvl="1">
      <w:start w:val="1"/>
      <w:numFmt w:val="decimal"/>
      <w:lvlText w:val="%2."/>
      <w:lvlJc w:val="left"/>
      <w:pPr>
        <w:tabs>
          <w:tab w:val="num" w:pos="-219"/>
        </w:tabs>
        <w:ind w:left="357" w:hanging="576"/>
      </w:pPr>
      <w:rPr>
        <w:sz w:val="24"/>
        <w:szCs w:val="24"/>
      </w:rPr>
    </w:lvl>
    <w:lvl w:ilvl="2">
      <w:start w:val="1"/>
      <w:numFmt w:val="decimal"/>
      <w:lvlText w:val="%3."/>
      <w:lvlJc w:val="left"/>
      <w:pPr>
        <w:tabs>
          <w:tab w:val="num" w:pos="-219"/>
        </w:tabs>
        <w:ind w:left="501" w:hanging="720"/>
      </w:pPr>
    </w:lvl>
    <w:lvl w:ilvl="3">
      <w:start w:val="1"/>
      <w:numFmt w:val="decimal"/>
      <w:lvlText w:val="%1.%2.%3.%4"/>
      <w:lvlJc w:val="left"/>
      <w:pPr>
        <w:tabs>
          <w:tab w:val="num" w:pos="-219"/>
        </w:tabs>
        <w:ind w:left="645" w:hanging="864"/>
      </w:pPr>
    </w:lvl>
    <w:lvl w:ilvl="4">
      <w:start w:val="1"/>
      <w:numFmt w:val="decimal"/>
      <w:lvlText w:val="%1.%2.%3.%4.%5"/>
      <w:lvlJc w:val="left"/>
      <w:pPr>
        <w:tabs>
          <w:tab w:val="num" w:pos="-219"/>
        </w:tabs>
        <w:ind w:left="789" w:hanging="1008"/>
      </w:pPr>
    </w:lvl>
    <w:lvl w:ilvl="5">
      <w:start w:val="1"/>
      <w:numFmt w:val="decimal"/>
      <w:lvlText w:val="%1.%2.%3.%4.%5.%6"/>
      <w:lvlJc w:val="left"/>
      <w:pPr>
        <w:tabs>
          <w:tab w:val="num" w:pos="-219"/>
        </w:tabs>
        <w:ind w:left="933" w:hanging="1152"/>
      </w:pPr>
    </w:lvl>
    <w:lvl w:ilvl="6">
      <w:start w:val="1"/>
      <w:numFmt w:val="decimal"/>
      <w:lvlText w:val="%1.%2.%3.%4.%5.%6.%7"/>
      <w:lvlJc w:val="left"/>
      <w:pPr>
        <w:tabs>
          <w:tab w:val="num" w:pos="-219"/>
        </w:tabs>
        <w:ind w:left="1077" w:hanging="1296"/>
      </w:pPr>
    </w:lvl>
    <w:lvl w:ilvl="7">
      <w:start w:val="1"/>
      <w:numFmt w:val="decimal"/>
      <w:lvlText w:val="%1.%2.%3.%4.%5.%6.%7.%8"/>
      <w:lvlJc w:val="left"/>
      <w:pPr>
        <w:tabs>
          <w:tab w:val="num" w:pos="-219"/>
        </w:tabs>
        <w:ind w:left="1221" w:hanging="1440"/>
      </w:pPr>
    </w:lvl>
    <w:lvl w:ilvl="8">
      <w:start w:val="1"/>
      <w:numFmt w:val="decimal"/>
      <w:lvlText w:val="%1.%2.%3.%4.%5.%6.%7.%8.%9"/>
      <w:lvlJc w:val="left"/>
      <w:pPr>
        <w:tabs>
          <w:tab w:val="num" w:pos="-219"/>
        </w:tabs>
        <w:ind w:left="1365" w:hanging="1584"/>
      </w:pPr>
    </w:lvl>
  </w:abstractNum>
  <w:abstractNum w:abstractNumId="1" w15:restartNumberingAfterBreak="0">
    <w:nsid w:val="034B7A90"/>
    <w:multiLevelType w:val="multilevel"/>
    <w:tmpl w:val="20B62676"/>
    <w:lvl w:ilvl="0">
      <w:start w:val="4"/>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3" w15:restartNumberingAfterBreak="0">
    <w:nsid w:val="08195972"/>
    <w:multiLevelType w:val="multilevel"/>
    <w:tmpl w:val="41DA9C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D1C4A"/>
    <w:multiLevelType w:val="hybridMultilevel"/>
    <w:tmpl w:val="F2FC65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6F70A8"/>
    <w:multiLevelType w:val="hybridMultilevel"/>
    <w:tmpl w:val="44D4FDB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7BD6D01"/>
    <w:multiLevelType w:val="hybridMultilevel"/>
    <w:tmpl w:val="FDC6513C"/>
    <w:lvl w:ilvl="0" w:tplc="140A0009">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15:restartNumberingAfterBreak="0">
    <w:nsid w:val="1C3B352B"/>
    <w:multiLevelType w:val="multilevel"/>
    <w:tmpl w:val="5D841EB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10" w15:restartNumberingAfterBreak="0">
    <w:nsid w:val="24CA1A3E"/>
    <w:multiLevelType w:val="hybridMultilevel"/>
    <w:tmpl w:val="F2FA0E16"/>
    <w:lvl w:ilvl="0" w:tplc="F9BAFEC0">
      <w:numFmt w:val="bullet"/>
      <w:lvlText w:val="•"/>
      <w:lvlJc w:val="left"/>
      <w:pPr>
        <w:ind w:left="1800" w:hanging="360"/>
      </w:pPr>
      <w:rPr>
        <w:rFonts w:hint="default"/>
        <w:lang w:val="es-ES" w:eastAsia="en-US" w:bidi="ar-SA"/>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1"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2" w15:restartNumberingAfterBreak="0">
    <w:nsid w:val="308F0B0B"/>
    <w:multiLevelType w:val="hybridMultilevel"/>
    <w:tmpl w:val="C734CC1C"/>
    <w:lvl w:ilvl="0" w:tplc="F1C01328">
      <w:start w:val="1"/>
      <w:numFmt w:val="lowerLetter"/>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55B1472"/>
    <w:multiLevelType w:val="hybridMultilevel"/>
    <w:tmpl w:val="CCE02762"/>
    <w:lvl w:ilvl="0" w:tplc="74509F32">
      <w:start w:val="1"/>
      <w:numFmt w:val="lowerLetter"/>
      <w:lvlText w:val="%1."/>
      <w:lvlJc w:val="left"/>
      <w:pPr>
        <w:ind w:left="1860" w:hanging="360"/>
      </w:pPr>
      <w:rPr>
        <w:rFonts w:hint="default"/>
      </w:rPr>
    </w:lvl>
    <w:lvl w:ilvl="1" w:tplc="140A0019" w:tentative="1">
      <w:start w:val="1"/>
      <w:numFmt w:val="lowerLetter"/>
      <w:lvlText w:val="%2."/>
      <w:lvlJc w:val="left"/>
      <w:pPr>
        <w:ind w:left="2580" w:hanging="360"/>
      </w:pPr>
    </w:lvl>
    <w:lvl w:ilvl="2" w:tplc="140A001B" w:tentative="1">
      <w:start w:val="1"/>
      <w:numFmt w:val="lowerRoman"/>
      <w:lvlText w:val="%3."/>
      <w:lvlJc w:val="right"/>
      <w:pPr>
        <w:ind w:left="3300" w:hanging="180"/>
      </w:pPr>
    </w:lvl>
    <w:lvl w:ilvl="3" w:tplc="140A000F" w:tentative="1">
      <w:start w:val="1"/>
      <w:numFmt w:val="decimal"/>
      <w:lvlText w:val="%4."/>
      <w:lvlJc w:val="left"/>
      <w:pPr>
        <w:ind w:left="4020" w:hanging="360"/>
      </w:pPr>
    </w:lvl>
    <w:lvl w:ilvl="4" w:tplc="140A0019" w:tentative="1">
      <w:start w:val="1"/>
      <w:numFmt w:val="lowerLetter"/>
      <w:lvlText w:val="%5."/>
      <w:lvlJc w:val="left"/>
      <w:pPr>
        <w:ind w:left="4740" w:hanging="360"/>
      </w:pPr>
    </w:lvl>
    <w:lvl w:ilvl="5" w:tplc="140A001B" w:tentative="1">
      <w:start w:val="1"/>
      <w:numFmt w:val="lowerRoman"/>
      <w:lvlText w:val="%6."/>
      <w:lvlJc w:val="right"/>
      <w:pPr>
        <w:ind w:left="5460" w:hanging="180"/>
      </w:pPr>
    </w:lvl>
    <w:lvl w:ilvl="6" w:tplc="140A000F" w:tentative="1">
      <w:start w:val="1"/>
      <w:numFmt w:val="decimal"/>
      <w:lvlText w:val="%7."/>
      <w:lvlJc w:val="left"/>
      <w:pPr>
        <w:ind w:left="6180" w:hanging="360"/>
      </w:pPr>
    </w:lvl>
    <w:lvl w:ilvl="7" w:tplc="140A0019" w:tentative="1">
      <w:start w:val="1"/>
      <w:numFmt w:val="lowerLetter"/>
      <w:lvlText w:val="%8."/>
      <w:lvlJc w:val="left"/>
      <w:pPr>
        <w:ind w:left="6900" w:hanging="360"/>
      </w:pPr>
    </w:lvl>
    <w:lvl w:ilvl="8" w:tplc="140A001B" w:tentative="1">
      <w:start w:val="1"/>
      <w:numFmt w:val="lowerRoman"/>
      <w:lvlText w:val="%9."/>
      <w:lvlJc w:val="right"/>
      <w:pPr>
        <w:ind w:left="7620" w:hanging="180"/>
      </w:pPr>
    </w:lvl>
  </w:abstractNum>
  <w:abstractNum w:abstractNumId="14" w15:restartNumberingAfterBreak="0">
    <w:nsid w:val="399A075B"/>
    <w:multiLevelType w:val="hybridMultilevel"/>
    <w:tmpl w:val="CB58A134"/>
    <w:lvl w:ilvl="0" w:tplc="140A0009">
      <w:start w:val="1"/>
      <w:numFmt w:val="bullet"/>
      <w:lvlText w:val=""/>
      <w:lvlJc w:val="left"/>
      <w:pPr>
        <w:ind w:left="1500" w:hanging="360"/>
      </w:pPr>
      <w:rPr>
        <w:rFonts w:ascii="Wingdings" w:hAnsi="Wingdings" w:hint="default"/>
      </w:rPr>
    </w:lvl>
    <w:lvl w:ilvl="1" w:tplc="140A0003" w:tentative="1">
      <w:start w:val="1"/>
      <w:numFmt w:val="bullet"/>
      <w:lvlText w:val="o"/>
      <w:lvlJc w:val="left"/>
      <w:pPr>
        <w:ind w:left="2220" w:hanging="360"/>
      </w:pPr>
      <w:rPr>
        <w:rFonts w:ascii="Courier New" w:hAnsi="Courier New" w:cs="Courier New" w:hint="default"/>
      </w:rPr>
    </w:lvl>
    <w:lvl w:ilvl="2" w:tplc="140A0005" w:tentative="1">
      <w:start w:val="1"/>
      <w:numFmt w:val="bullet"/>
      <w:lvlText w:val=""/>
      <w:lvlJc w:val="left"/>
      <w:pPr>
        <w:ind w:left="2940" w:hanging="360"/>
      </w:pPr>
      <w:rPr>
        <w:rFonts w:ascii="Wingdings" w:hAnsi="Wingdings" w:hint="default"/>
      </w:rPr>
    </w:lvl>
    <w:lvl w:ilvl="3" w:tplc="140A0001" w:tentative="1">
      <w:start w:val="1"/>
      <w:numFmt w:val="bullet"/>
      <w:lvlText w:val=""/>
      <w:lvlJc w:val="left"/>
      <w:pPr>
        <w:ind w:left="3660" w:hanging="360"/>
      </w:pPr>
      <w:rPr>
        <w:rFonts w:ascii="Symbol" w:hAnsi="Symbol" w:hint="default"/>
      </w:rPr>
    </w:lvl>
    <w:lvl w:ilvl="4" w:tplc="140A0003" w:tentative="1">
      <w:start w:val="1"/>
      <w:numFmt w:val="bullet"/>
      <w:lvlText w:val="o"/>
      <w:lvlJc w:val="left"/>
      <w:pPr>
        <w:ind w:left="4380" w:hanging="360"/>
      </w:pPr>
      <w:rPr>
        <w:rFonts w:ascii="Courier New" w:hAnsi="Courier New" w:cs="Courier New" w:hint="default"/>
      </w:rPr>
    </w:lvl>
    <w:lvl w:ilvl="5" w:tplc="140A0005" w:tentative="1">
      <w:start w:val="1"/>
      <w:numFmt w:val="bullet"/>
      <w:lvlText w:val=""/>
      <w:lvlJc w:val="left"/>
      <w:pPr>
        <w:ind w:left="5100" w:hanging="360"/>
      </w:pPr>
      <w:rPr>
        <w:rFonts w:ascii="Wingdings" w:hAnsi="Wingdings" w:hint="default"/>
      </w:rPr>
    </w:lvl>
    <w:lvl w:ilvl="6" w:tplc="140A0001" w:tentative="1">
      <w:start w:val="1"/>
      <w:numFmt w:val="bullet"/>
      <w:lvlText w:val=""/>
      <w:lvlJc w:val="left"/>
      <w:pPr>
        <w:ind w:left="5820" w:hanging="360"/>
      </w:pPr>
      <w:rPr>
        <w:rFonts w:ascii="Symbol" w:hAnsi="Symbol" w:hint="default"/>
      </w:rPr>
    </w:lvl>
    <w:lvl w:ilvl="7" w:tplc="140A0003" w:tentative="1">
      <w:start w:val="1"/>
      <w:numFmt w:val="bullet"/>
      <w:lvlText w:val="o"/>
      <w:lvlJc w:val="left"/>
      <w:pPr>
        <w:ind w:left="6540" w:hanging="360"/>
      </w:pPr>
      <w:rPr>
        <w:rFonts w:ascii="Courier New" w:hAnsi="Courier New" w:cs="Courier New" w:hint="default"/>
      </w:rPr>
    </w:lvl>
    <w:lvl w:ilvl="8" w:tplc="140A0005" w:tentative="1">
      <w:start w:val="1"/>
      <w:numFmt w:val="bullet"/>
      <w:lvlText w:val=""/>
      <w:lvlJc w:val="left"/>
      <w:pPr>
        <w:ind w:left="7260" w:hanging="360"/>
      </w:pPr>
      <w:rPr>
        <w:rFonts w:ascii="Wingdings" w:hAnsi="Wingdings" w:hint="default"/>
      </w:rPr>
    </w:lvl>
  </w:abstractNum>
  <w:abstractNum w:abstractNumId="15"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15:restartNumberingAfterBreak="0">
    <w:nsid w:val="433929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3E6172"/>
    <w:multiLevelType w:val="multilevel"/>
    <w:tmpl w:val="385CB0C4"/>
    <w:lvl w:ilvl="0">
      <w:start w:val="1"/>
      <w:numFmt w:val="decimal"/>
      <w:lvlText w:val="%1."/>
      <w:lvlJc w:val="left"/>
      <w:pPr>
        <w:ind w:left="720" w:hanging="360"/>
      </w:pPr>
      <w:rPr>
        <w:rFonts w:hint="default"/>
        <w:b/>
        <w:color w:val="44546A" w:themeColor="text2"/>
        <w:sz w:val="28"/>
        <w:szCs w:val="28"/>
      </w:rPr>
    </w:lvl>
    <w:lvl w:ilvl="1">
      <w:start w:val="1"/>
      <w:numFmt w:val="decimal"/>
      <w:isLgl/>
      <w:lvlText w:val="%1.%2."/>
      <w:lvlJc w:val="left"/>
      <w:pPr>
        <w:ind w:left="861" w:hanging="720"/>
      </w:pPr>
      <w:rPr>
        <w:rFonts w:hint="default"/>
        <w:b/>
        <w:color w:val="44546A" w:themeColor="text2"/>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650D12"/>
    <w:multiLevelType w:val="multilevel"/>
    <w:tmpl w:val="3BD6D88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277B95"/>
    <w:multiLevelType w:val="hybridMultilevel"/>
    <w:tmpl w:val="A90E032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290652"/>
    <w:multiLevelType w:val="hybridMultilevel"/>
    <w:tmpl w:val="5AF86E3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8994EED"/>
    <w:multiLevelType w:val="hybridMultilevel"/>
    <w:tmpl w:val="4AECB6B2"/>
    <w:lvl w:ilvl="0" w:tplc="580E824E">
      <w:start w:val="1"/>
      <w:numFmt w:val="bullet"/>
      <w:lvlText w:val="-"/>
      <w:lvlJc w:val="left"/>
      <w:pPr>
        <w:ind w:left="720" w:hanging="360"/>
      </w:pPr>
      <w:rPr>
        <w:rFonts w:ascii="Liberation Serif" w:eastAsia="Times New Roman" w:hAnsi="Liberation Serif" w:cs="Liberation Seri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BD5061"/>
    <w:multiLevelType w:val="hybridMultilevel"/>
    <w:tmpl w:val="D424E98C"/>
    <w:lvl w:ilvl="0" w:tplc="4DBEC842">
      <w:start w:val="1"/>
      <w:numFmt w:val="bullet"/>
      <w:lvlText w:val=""/>
      <w:lvlJc w:val="left"/>
      <w:pPr>
        <w:tabs>
          <w:tab w:val="num" w:pos="360"/>
        </w:tabs>
        <w:ind w:left="360" w:hanging="360"/>
      </w:pPr>
      <w:rPr>
        <w:rFonts w:ascii="Wingdings" w:hAnsi="Wingdings" w:hint="default"/>
      </w:rPr>
    </w:lvl>
    <w:lvl w:ilvl="1" w:tplc="FFD06120" w:tentative="1">
      <w:start w:val="1"/>
      <w:numFmt w:val="bullet"/>
      <w:lvlText w:val=""/>
      <w:lvlJc w:val="left"/>
      <w:pPr>
        <w:tabs>
          <w:tab w:val="num" w:pos="1080"/>
        </w:tabs>
        <w:ind w:left="1080" w:hanging="360"/>
      </w:pPr>
      <w:rPr>
        <w:rFonts w:ascii="Wingdings" w:hAnsi="Wingdings" w:hint="default"/>
      </w:rPr>
    </w:lvl>
    <w:lvl w:ilvl="2" w:tplc="A5BEE47C" w:tentative="1">
      <w:start w:val="1"/>
      <w:numFmt w:val="bullet"/>
      <w:lvlText w:val=""/>
      <w:lvlJc w:val="left"/>
      <w:pPr>
        <w:tabs>
          <w:tab w:val="num" w:pos="1800"/>
        </w:tabs>
        <w:ind w:left="1800" w:hanging="360"/>
      </w:pPr>
      <w:rPr>
        <w:rFonts w:ascii="Wingdings" w:hAnsi="Wingdings" w:hint="default"/>
      </w:rPr>
    </w:lvl>
    <w:lvl w:ilvl="3" w:tplc="06C6458E" w:tentative="1">
      <w:start w:val="1"/>
      <w:numFmt w:val="bullet"/>
      <w:lvlText w:val=""/>
      <w:lvlJc w:val="left"/>
      <w:pPr>
        <w:tabs>
          <w:tab w:val="num" w:pos="2520"/>
        </w:tabs>
        <w:ind w:left="2520" w:hanging="360"/>
      </w:pPr>
      <w:rPr>
        <w:rFonts w:ascii="Wingdings" w:hAnsi="Wingdings" w:hint="default"/>
      </w:rPr>
    </w:lvl>
    <w:lvl w:ilvl="4" w:tplc="CC9CF9CC" w:tentative="1">
      <w:start w:val="1"/>
      <w:numFmt w:val="bullet"/>
      <w:lvlText w:val=""/>
      <w:lvlJc w:val="left"/>
      <w:pPr>
        <w:tabs>
          <w:tab w:val="num" w:pos="3240"/>
        </w:tabs>
        <w:ind w:left="3240" w:hanging="360"/>
      </w:pPr>
      <w:rPr>
        <w:rFonts w:ascii="Wingdings" w:hAnsi="Wingdings" w:hint="default"/>
      </w:rPr>
    </w:lvl>
    <w:lvl w:ilvl="5" w:tplc="CF0EF9BE" w:tentative="1">
      <w:start w:val="1"/>
      <w:numFmt w:val="bullet"/>
      <w:lvlText w:val=""/>
      <w:lvlJc w:val="left"/>
      <w:pPr>
        <w:tabs>
          <w:tab w:val="num" w:pos="3960"/>
        </w:tabs>
        <w:ind w:left="3960" w:hanging="360"/>
      </w:pPr>
      <w:rPr>
        <w:rFonts w:ascii="Wingdings" w:hAnsi="Wingdings" w:hint="default"/>
      </w:rPr>
    </w:lvl>
    <w:lvl w:ilvl="6" w:tplc="B73E66CC" w:tentative="1">
      <w:start w:val="1"/>
      <w:numFmt w:val="bullet"/>
      <w:lvlText w:val=""/>
      <w:lvlJc w:val="left"/>
      <w:pPr>
        <w:tabs>
          <w:tab w:val="num" w:pos="4680"/>
        </w:tabs>
        <w:ind w:left="4680" w:hanging="360"/>
      </w:pPr>
      <w:rPr>
        <w:rFonts w:ascii="Wingdings" w:hAnsi="Wingdings" w:hint="default"/>
      </w:rPr>
    </w:lvl>
    <w:lvl w:ilvl="7" w:tplc="04FCAF62" w:tentative="1">
      <w:start w:val="1"/>
      <w:numFmt w:val="bullet"/>
      <w:lvlText w:val=""/>
      <w:lvlJc w:val="left"/>
      <w:pPr>
        <w:tabs>
          <w:tab w:val="num" w:pos="5400"/>
        </w:tabs>
        <w:ind w:left="5400" w:hanging="360"/>
      </w:pPr>
      <w:rPr>
        <w:rFonts w:ascii="Wingdings" w:hAnsi="Wingdings" w:hint="default"/>
      </w:rPr>
    </w:lvl>
    <w:lvl w:ilvl="8" w:tplc="B054100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FF16D9"/>
    <w:multiLevelType w:val="hybridMultilevel"/>
    <w:tmpl w:val="8A7C58E2"/>
    <w:lvl w:ilvl="0" w:tplc="140A0009">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15:restartNumberingAfterBreak="0">
    <w:nsid w:val="4DA56E90"/>
    <w:multiLevelType w:val="multilevel"/>
    <w:tmpl w:val="B644C59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26" w15:restartNumberingAfterBreak="0">
    <w:nsid w:val="536471B8"/>
    <w:multiLevelType w:val="hybridMultilevel"/>
    <w:tmpl w:val="7682D2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A3B4FA5"/>
    <w:multiLevelType w:val="multilevel"/>
    <w:tmpl w:val="54303C9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4369BA"/>
    <w:multiLevelType w:val="hybridMultilevel"/>
    <w:tmpl w:val="3CFE3D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F96B93"/>
    <w:multiLevelType w:val="hybridMultilevel"/>
    <w:tmpl w:val="8CE81E5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5A82B39"/>
    <w:multiLevelType w:val="hybridMultilevel"/>
    <w:tmpl w:val="AE5EF512"/>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37" w15:restartNumberingAfterBreak="0">
    <w:nsid w:val="73CA5C62"/>
    <w:multiLevelType w:val="hybridMultilevel"/>
    <w:tmpl w:val="DB7EF4F4"/>
    <w:lvl w:ilvl="0" w:tplc="140A000D">
      <w:start w:val="1"/>
      <w:numFmt w:val="bullet"/>
      <w:lvlText w:val=""/>
      <w:lvlJc w:val="left"/>
      <w:pPr>
        <w:ind w:left="360" w:hanging="360"/>
      </w:pPr>
      <w:rPr>
        <w:rFonts w:ascii="Wingdings" w:hAnsi="Wingding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BB05C4B"/>
    <w:multiLevelType w:val="hybridMultilevel"/>
    <w:tmpl w:val="CF209A8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6"/>
  </w:num>
  <w:num w:numId="4">
    <w:abstractNumId w:val="32"/>
  </w:num>
  <w:num w:numId="5">
    <w:abstractNumId w:val="4"/>
  </w:num>
  <w:num w:numId="6">
    <w:abstractNumId w:val="34"/>
  </w:num>
  <w:num w:numId="7">
    <w:abstractNumId w:val="35"/>
  </w:num>
  <w:num w:numId="8">
    <w:abstractNumId w:val="5"/>
  </w:num>
  <w:num w:numId="9">
    <w:abstractNumId w:val="2"/>
  </w:num>
  <w:num w:numId="10">
    <w:abstractNumId w:val="25"/>
  </w:num>
  <w:num w:numId="11">
    <w:abstractNumId w:val="15"/>
  </w:num>
  <w:num w:numId="12">
    <w:abstractNumId w:val="11"/>
  </w:num>
  <w:num w:numId="13">
    <w:abstractNumId w:val="30"/>
  </w:num>
  <w:num w:numId="14">
    <w:abstractNumId w:val="38"/>
  </w:num>
  <w:num w:numId="15">
    <w:abstractNumId w:val="23"/>
  </w:num>
  <w:num w:numId="16">
    <w:abstractNumId w:val="14"/>
  </w:num>
  <w:num w:numId="17">
    <w:abstractNumId w:val="10"/>
  </w:num>
  <w:num w:numId="18">
    <w:abstractNumId w:val="8"/>
  </w:num>
  <w:num w:numId="19">
    <w:abstractNumId w:val="17"/>
  </w:num>
  <w:num w:numId="20">
    <w:abstractNumId w:val="22"/>
  </w:num>
  <w:num w:numId="21">
    <w:abstractNumId w:val="31"/>
  </w:num>
  <w:num w:numId="22">
    <w:abstractNumId w:val="20"/>
  </w:num>
  <w:num w:numId="23">
    <w:abstractNumId w:val="13"/>
  </w:num>
  <w:num w:numId="24">
    <w:abstractNumId w:val="6"/>
  </w:num>
  <w:num w:numId="25">
    <w:abstractNumId w:val="3"/>
  </w:num>
  <w:num w:numId="26">
    <w:abstractNumId w:val="19"/>
  </w:num>
  <w:num w:numId="27">
    <w:abstractNumId w:val="33"/>
  </w:num>
  <w:num w:numId="28">
    <w:abstractNumId w:val="24"/>
  </w:num>
  <w:num w:numId="29">
    <w:abstractNumId w:val="29"/>
  </w:num>
  <w:num w:numId="30">
    <w:abstractNumId w:val="28"/>
  </w:num>
  <w:num w:numId="31">
    <w:abstractNumId w:val="16"/>
  </w:num>
  <w:num w:numId="32">
    <w:abstractNumId w:val="18"/>
  </w:num>
  <w:num w:numId="33">
    <w:abstractNumId w:val="9"/>
  </w:num>
  <w:num w:numId="34">
    <w:abstractNumId w:val="1"/>
  </w:num>
  <w:num w:numId="35">
    <w:abstractNumId w:val="12"/>
  </w:num>
  <w:num w:numId="36">
    <w:abstractNumId w:val="7"/>
  </w:num>
  <w:num w:numId="37">
    <w:abstractNumId w:val="21"/>
  </w:num>
  <w:num w:numId="38">
    <w:abstractNumId w:val="2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7AB1"/>
    <w:rsid w:val="0001330F"/>
    <w:rsid w:val="000174A6"/>
    <w:rsid w:val="00022709"/>
    <w:rsid w:val="00022A79"/>
    <w:rsid w:val="0002490C"/>
    <w:rsid w:val="0002500E"/>
    <w:rsid w:val="00027029"/>
    <w:rsid w:val="00030E25"/>
    <w:rsid w:val="00031758"/>
    <w:rsid w:val="00031A36"/>
    <w:rsid w:val="0003759A"/>
    <w:rsid w:val="00040E4D"/>
    <w:rsid w:val="000435D6"/>
    <w:rsid w:val="0004431E"/>
    <w:rsid w:val="00051664"/>
    <w:rsid w:val="00052E00"/>
    <w:rsid w:val="000609E2"/>
    <w:rsid w:val="000619C8"/>
    <w:rsid w:val="00062247"/>
    <w:rsid w:val="000717BA"/>
    <w:rsid w:val="00083876"/>
    <w:rsid w:val="00083B55"/>
    <w:rsid w:val="0008412A"/>
    <w:rsid w:val="00097935"/>
    <w:rsid w:val="000A1376"/>
    <w:rsid w:val="000A24A7"/>
    <w:rsid w:val="000B0080"/>
    <w:rsid w:val="000B1AE6"/>
    <w:rsid w:val="000B6775"/>
    <w:rsid w:val="000C0A77"/>
    <w:rsid w:val="000C1613"/>
    <w:rsid w:val="000C5F9C"/>
    <w:rsid w:val="000D28A2"/>
    <w:rsid w:val="000D72FF"/>
    <w:rsid w:val="000E4C3A"/>
    <w:rsid w:val="000F39E3"/>
    <w:rsid w:val="000F3E42"/>
    <w:rsid w:val="000F42B7"/>
    <w:rsid w:val="000F5573"/>
    <w:rsid w:val="00100217"/>
    <w:rsid w:val="0010514F"/>
    <w:rsid w:val="00105E30"/>
    <w:rsid w:val="00106B63"/>
    <w:rsid w:val="001074B4"/>
    <w:rsid w:val="00111338"/>
    <w:rsid w:val="001213B8"/>
    <w:rsid w:val="001301EE"/>
    <w:rsid w:val="00132886"/>
    <w:rsid w:val="0014036C"/>
    <w:rsid w:val="00141197"/>
    <w:rsid w:val="00145D6B"/>
    <w:rsid w:val="001476B9"/>
    <w:rsid w:val="00151EF5"/>
    <w:rsid w:val="00156674"/>
    <w:rsid w:val="00164769"/>
    <w:rsid w:val="00170D5B"/>
    <w:rsid w:val="001817E0"/>
    <w:rsid w:val="00191F82"/>
    <w:rsid w:val="001B14D0"/>
    <w:rsid w:val="001B3325"/>
    <w:rsid w:val="001B5F07"/>
    <w:rsid w:val="001B6045"/>
    <w:rsid w:val="001C4132"/>
    <w:rsid w:val="001D19CF"/>
    <w:rsid w:val="001D37BB"/>
    <w:rsid w:val="001D6A03"/>
    <w:rsid w:val="001D6A8C"/>
    <w:rsid w:val="001E0558"/>
    <w:rsid w:val="001E07A9"/>
    <w:rsid w:val="001E1076"/>
    <w:rsid w:val="001E5B47"/>
    <w:rsid w:val="001F0966"/>
    <w:rsid w:val="001F1835"/>
    <w:rsid w:val="001F4660"/>
    <w:rsid w:val="001F781C"/>
    <w:rsid w:val="00200126"/>
    <w:rsid w:val="002005F6"/>
    <w:rsid w:val="0020330E"/>
    <w:rsid w:val="00206526"/>
    <w:rsid w:val="002134AE"/>
    <w:rsid w:val="00220E92"/>
    <w:rsid w:val="00224221"/>
    <w:rsid w:val="002246DC"/>
    <w:rsid w:val="00225C5F"/>
    <w:rsid w:val="00233FFA"/>
    <w:rsid w:val="00234492"/>
    <w:rsid w:val="00236312"/>
    <w:rsid w:val="002412A2"/>
    <w:rsid w:val="002447EB"/>
    <w:rsid w:val="00255E52"/>
    <w:rsid w:val="0026386E"/>
    <w:rsid w:val="00267F24"/>
    <w:rsid w:val="002721DD"/>
    <w:rsid w:val="00276B30"/>
    <w:rsid w:val="00277D0B"/>
    <w:rsid w:val="00280B5A"/>
    <w:rsid w:val="00286EE7"/>
    <w:rsid w:val="00290D69"/>
    <w:rsid w:val="002A30CD"/>
    <w:rsid w:val="002A3293"/>
    <w:rsid w:val="002A362F"/>
    <w:rsid w:val="002A4C83"/>
    <w:rsid w:val="002B3D72"/>
    <w:rsid w:val="002B7453"/>
    <w:rsid w:val="002C2C4A"/>
    <w:rsid w:val="002C5E87"/>
    <w:rsid w:val="002D43C1"/>
    <w:rsid w:val="00300D54"/>
    <w:rsid w:val="003053F6"/>
    <w:rsid w:val="0030650A"/>
    <w:rsid w:val="00322009"/>
    <w:rsid w:val="00323370"/>
    <w:rsid w:val="00325AAD"/>
    <w:rsid w:val="0033160E"/>
    <w:rsid w:val="00335AC5"/>
    <w:rsid w:val="00340308"/>
    <w:rsid w:val="00341B37"/>
    <w:rsid w:val="00346F1B"/>
    <w:rsid w:val="003539E1"/>
    <w:rsid w:val="00360B70"/>
    <w:rsid w:val="00367F0E"/>
    <w:rsid w:val="00370352"/>
    <w:rsid w:val="003718D3"/>
    <w:rsid w:val="00381789"/>
    <w:rsid w:val="00387D65"/>
    <w:rsid w:val="00395EB2"/>
    <w:rsid w:val="003979EA"/>
    <w:rsid w:val="00397C5A"/>
    <w:rsid w:val="003A25DE"/>
    <w:rsid w:val="003A3F61"/>
    <w:rsid w:val="003A47CE"/>
    <w:rsid w:val="003A7BDA"/>
    <w:rsid w:val="003B296C"/>
    <w:rsid w:val="003B439D"/>
    <w:rsid w:val="003C116B"/>
    <w:rsid w:val="003C1B39"/>
    <w:rsid w:val="003C33EB"/>
    <w:rsid w:val="003C37EC"/>
    <w:rsid w:val="003D29F5"/>
    <w:rsid w:val="003D4271"/>
    <w:rsid w:val="003E15F7"/>
    <w:rsid w:val="003E439A"/>
    <w:rsid w:val="003E5209"/>
    <w:rsid w:val="003F26F8"/>
    <w:rsid w:val="003F5283"/>
    <w:rsid w:val="004036E3"/>
    <w:rsid w:val="00404303"/>
    <w:rsid w:val="00404850"/>
    <w:rsid w:val="0040799C"/>
    <w:rsid w:val="004102E9"/>
    <w:rsid w:val="004120CF"/>
    <w:rsid w:val="0041647A"/>
    <w:rsid w:val="00426053"/>
    <w:rsid w:val="0042779A"/>
    <w:rsid w:val="004305DD"/>
    <w:rsid w:val="00431F40"/>
    <w:rsid w:val="0043627B"/>
    <w:rsid w:val="0044314C"/>
    <w:rsid w:val="004571AE"/>
    <w:rsid w:val="0046401D"/>
    <w:rsid w:val="00475B1C"/>
    <w:rsid w:val="004A432A"/>
    <w:rsid w:val="004A7E0C"/>
    <w:rsid w:val="004B66F2"/>
    <w:rsid w:val="004B71AC"/>
    <w:rsid w:val="004C2301"/>
    <w:rsid w:val="004C2CAB"/>
    <w:rsid w:val="004C6EB5"/>
    <w:rsid w:val="004D3231"/>
    <w:rsid w:val="004D44BA"/>
    <w:rsid w:val="004D7A6B"/>
    <w:rsid w:val="004D7ECB"/>
    <w:rsid w:val="004E0BF9"/>
    <w:rsid w:val="004E1937"/>
    <w:rsid w:val="004E2449"/>
    <w:rsid w:val="004E31C9"/>
    <w:rsid w:val="004E6BC3"/>
    <w:rsid w:val="004F0FE8"/>
    <w:rsid w:val="004F1211"/>
    <w:rsid w:val="004F6E9E"/>
    <w:rsid w:val="00500D4F"/>
    <w:rsid w:val="00511B36"/>
    <w:rsid w:val="00517E5B"/>
    <w:rsid w:val="005249CB"/>
    <w:rsid w:val="005274C8"/>
    <w:rsid w:val="005408D9"/>
    <w:rsid w:val="00541987"/>
    <w:rsid w:val="005435AF"/>
    <w:rsid w:val="00546DBD"/>
    <w:rsid w:val="005504B4"/>
    <w:rsid w:val="0055222A"/>
    <w:rsid w:val="00563CBC"/>
    <w:rsid w:val="00564D2C"/>
    <w:rsid w:val="00566884"/>
    <w:rsid w:val="005678DD"/>
    <w:rsid w:val="0056791E"/>
    <w:rsid w:val="005728DD"/>
    <w:rsid w:val="00572E71"/>
    <w:rsid w:val="00574342"/>
    <w:rsid w:val="0057565A"/>
    <w:rsid w:val="00576EE1"/>
    <w:rsid w:val="00577E55"/>
    <w:rsid w:val="0058092A"/>
    <w:rsid w:val="00583157"/>
    <w:rsid w:val="005836B1"/>
    <w:rsid w:val="00590197"/>
    <w:rsid w:val="005922A5"/>
    <w:rsid w:val="005925A6"/>
    <w:rsid w:val="005928C4"/>
    <w:rsid w:val="005928F7"/>
    <w:rsid w:val="005A0CC4"/>
    <w:rsid w:val="005A2999"/>
    <w:rsid w:val="005A7FDA"/>
    <w:rsid w:val="005B3265"/>
    <w:rsid w:val="005C2511"/>
    <w:rsid w:val="005C4DAD"/>
    <w:rsid w:val="005C60F4"/>
    <w:rsid w:val="005C7FBF"/>
    <w:rsid w:val="005D1802"/>
    <w:rsid w:val="005D1B9E"/>
    <w:rsid w:val="005D31FA"/>
    <w:rsid w:val="005D4DAD"/>
    <w:rsid w:val="005E41CD"/>
    <w:rsid w:val="005E483A"/>
    <w:rsid w:val="005F1516"/>
    <w:rsid w:val="005F4FC7"/>
    <w:rsid w:val="006002DE"/>
    <w:rsid w:val="00601B9A"/>
    <w:rsid w:val="0061266D"/>
    <w:rsid w:val="00612DED"/>
    <w:rsid w:val="006207A1"/>
    <w:rsid w:val="006278AA"/>
    <w:rsid w:val="00627B94"/>
    <w:rsid w:val="006368D6"/>
    <w:rsid w:val="00642869"/>
    <w:rsid w:val="00643637"/>
    <w:rsid w:val="006447CD"/>
    <w:rsid w:val="00660976"/>
    <w:rsid w:val="00660BD2"/>
    <w:rsid w:val="006611A6"/>
    <w:rsid w:val="006656AC"/>
    <w:rsid w:val="006659EB"/>
    <w:rsid w:val="00671559"/>
    <w:rsid w:val="00672559"/>
    <w:rsid w:val="00673B08"/>
    <w:rsid w:val="00674E8B"/>
    <w:rsid w:val="00676EEE"/>
    <w:rsid w:val="00677BA3"/>
    <w:rsid w:val="00677C7B"/>
    <w:rsid w:val="00681319"/>
    <w:rsid w:val="00683F86"/>
    <w:rsid w:val="00691D02"/>
    <w:rsid w:val="006A0650"/>
    <w:rsid w:val="006A086F"/>
    <w:rsid w:val="006A0FB1"/>
    <w:rsid w:val="006A3C0C"/>
    <w:rsid w:val="006A3F96"/>
    <w:rsid w:val="006A5CA9"/>
    <w:rsid w:val="006A6BB4"/>
    <w:rsid w:val="006B2398"/>
    <w:rsid w:val="006B5505"/>
    <w:rsid w:val="006B551B"/>
    <w:rsid w:val="006D0AEA"/>
    <w:rsid w:val="006D52BE"/>
    <w:rsid w:val="006D6E97"/>
    <w:rsid w:val="006D7B97"/>
    <w:rsid w:val="006E72D9"/>
    <w:rsid w:val="006E7FC5"/>
    <w:rsid w:val="006F4316"/>
    <w:rsid w:val="00701CBA"/>
    <w:rsid w:val="00704863"/>
    <w:rsid w:val="00706A36"/>
    <w:rsid w:val="00712472"/>
    <w:rsid w:val="00713E96"/>
    <w:rsid w:val="00723E23"/>
    <w:rsid w:val="007252AB"/>
    <w:rsid w:val="00726B27"/>
    <w:rsid w:val="00730213"/>
    <w:rsid w:val="00734B4B"/>
    <w:rsid w:val="00743C09"/>
    <w:rsid w:val="00743C4E"/>
    <w:rsid w:val="0075265E"/>
    <w:rsid w:val="00755136"/>
    <w:rsid w:val="0075580C"/>
    <w:rsid w:val="0075629A"/>
    <w:rsid w:val="0076123C"/>
    <w:rsid w:val="00761D10"/>
    <w:rsid w:val="00762F8C"/>
    <w:rsid w:val="00767759"/>
    <w:rsid w:val="00767EB4"/>
    <w:rsid w:val="00775276"/>
    <w:rsid w:val="00775DDF"/>
    <w:rsid w:val="00782E72"/>
    <w:rsid w:val="00790CB8"/>
    <w:rsid w:val="00791651"/>
    <w:rsid w:val="00795679"/>
    <w:rsid w:val="007A1304"/>
    <w:rsid w:val="007A1910"/>
    <w:rsid w:val="007A4738"/>
    <w:rsid w:val="007A5893"/>
    <w:rsid w:val="007B224F"/>
    <w:rsid w:val="007B4CA3"/>
    <w:rsid w:val="007B6979"/>
    <w:rsid w:val="007D20A3"/>
    <w:rsid w:val="007D77F3"/>
    <w:rsid w:val="007E2D2D"/>
    <w:rsid w:val="007F1DB4"/>
    <w:rsid w:val="007F6653"/>
    <w:rsid w:val="0080436F"/>
    <w:rsid w:val="00811E04"/>
    <w:rsid w:val="00812811"/>
    <w:rsid w:val="00824D2A"/>
    <w:rsid w:val="00844515"/>
    <w:rsid w:val="008453B3"/>
    <w:rsid w:val="00845D4C"/>
    <w:rsid w:val="00846A9B"/>
    <w:rsid w:val="00847964"/>
    <w:rsid w:val="00850B20"/>
    <w:rsid w:val="0085163D"/>
    <w:rsid w:val="0085189B"/>
    <w:rsid w:val="008525DC"/>
    <w:rsid w:val="00853C0E"/>
    <w:rsid w:val="00857DD4"/>
    <w:rsid w:val="00862BEA"/>
    <w:rsid w:val="00864F98"/>
    <w:rsid w:val="00867296"/>
    <w:rsid w:val="00870538"/>
    <w:rsid w:val="00873A1B"/>
    <w:rsid w:val="00874F1F"/>
    <w:rsid w:val="008750D6"/>
    <w:rsid w:val="008768AC"/>
    <w:rsid w:val="008857E3"/>
    <w:rsid w:val="008912F0"/>
    <w:rsid w:val="0089280B"/>
    <w:rsid w:val="008973BD"/>
    <w:rsid w:val="008A043F"/>
    <w:rsid w:val="008A06DA"/>
    <w:rsid w:val="008A15B9"/>
    <w:rsid w:val="008A604A"/>
    <w:rsid w:val="008C5DF7"/>
    <w:rsid w:val="008C7854"/>
    <w:rsid w:val="008D6788"/>
    <w:rsid w:val="008F40EF"/>
    <w:rsid w:val="008F42F7"/>
    <w:rsid w:val="008F740B"/>
    <w:rsid w:val="0090074B"/>
    <w:rsid w:val="00902047"/>
    <w:rsid w:val="00906F0D"/>
    <w:rsid w:val="00915978"/>
    <w:rsid w:val="00921FB8"/>
    <w:rsid w:val="0092410A"/>
    <w:rsid w:val="009270AB"/>
    <w:rsid w:val="0092763F"/>
    <w:rsid w:val="00927F2B"/>
    <w:rsid w:val="00933FF8"/>
    <w:rsid w:val="0093556F"/>
    <w:rsid w:val="0093655F"/>
    <w:rsid w:val="00942269"/>
    <w:rsid w:val="00942F20"/>
    <w:rsid w:val="00945127"/>
    <w:rsid w:val="009529BA"/>
    <w:rsid w:val="00952E0E"/>
    <w:rsid w:val="00961C8F"/>
    <w:rsid w:val="00965318"/>
    <w:rsid w:val="009672F2"/>
    <w:rsid w:val="0097229D"/>
    <w:rsid w:val="00972DCB"/>
    <w:rsid w:val="00973E6B"/>
    <w:rsid w:val="0097477D"/>
    <w:rsid w:val="009817E9"/>
    <w:rsid w:val="009839D0"/>
    <w:rsid w:val="0099154B"/>
    <w:rsid w:val="009940AF"/>
    <w:rsid w:val="009949D5"/>
    <w:rsid w:val="00997D67"/>
    <w:rsid w:val="009B06C9"/>
    <w:rsid w:val="009B0C5F"/>
    <w:rsid w:val="009B1624"/>
    <w:rsid w:val="009B4857"/>
    <w:rsid w:val="009C39C8"/>
    <w:rsid w:val="009C3F04"/>
    <w:rsid w:val="009D0F61"/>
    <w:rsid w:val="009D2D99"/>
    <w:rsid w:val="009D7DFC"/>
    <w:rsid w:val="009E1BF2"/>
    <w:rsid w:val="009E31CE"/>
    <w:rsid w:val="009E4FA6"/>
    <w:rsid w:val="009F0409"/>
    <w:rsid w:val="009F2C11"/>
    <w:rsid w:val="00A00F0A"/>
    <w:rsid w:val="00A02016"/>
    <w:rsid w:val="00A02A6E"/>
    <w:rsid w:val="00A0428D"/>
    <w:rsid w:val="00A06889"/>
    <w:rsid w:val="00A12AEF"/>
    <w:rsid w:val="00A14F47"/>
    <w:rsid w:val="00A16C20"/>
    <w:rsid w:val="00A2232A"/>
    <w:rsid w:val="00A24888"/>
    <w:rsid w:val="00A3234A"/>
    <w:rsid w:val="00A3511E"/>
    <w:rsid w:val="00A35947"/>
    <w:rsid w:val="00A40138"/>
    <w:rsid w:val="00A4022B"/>
    <w:rsid w:val="00A40BD3"/>
    <w:rsid w:val="00A42458"/>
    <w:rsid w:val="00A5675D"/>
    <w:rsid w:val="00A73B0F"/>
    <w:rsid w:val="00A73B6F"/>
    <w:rsid w:val="00A75848"/>
    <w:rsid w:val="00A87C77"/>
    <w:rsid w:val="00A917AC"/>
    <w:rsid w:val="00A922DA"/>
    <w:rsid w:val="00A94EC0"/>
    <w:rsid w:val="00AA2C87"/>
    <w:rsid w:val="00AB0545"/>
    <w:rsid w:val="00AB1A02"/>
    <w:rsid w:val="00AB417D"/>
    <w:rsid w:val="00AC449E"/>
    <w:rsid w:val="00AC47CD"/>
    <w:rsid w:val="00AC56D8"/>
    <w:rsid w:val="00AC7FD1"/>
    <w:rsid w:val="00AD2AB3"/>
    <w:rsid w:val="00AD44B7"/>
    <w:rsid w:val="00AD78DF"/>
    <w:rsid w:val="00AD7C6B"/>
    <w:rsid w:val="00AE0FB8"/>
    <w:rsid w:val="00AE3E4F"/>
    <w:rsid w:val="00AE6EB5"/>
    <w:rsid w:val="00AE7A47"/>
    <w:rsid w:val="00AF022D"/>
    <w:rsid w:val="00B05F02"/>
    <w:rsid w:val="00B1007F"/>
    <w:rsid w:val="00B16667"/>
    <w:rsid w:val="00B17BEF"/>
    <w:rsid w:val="00B30BED"/>
    <w:rsid w:val="00B326E8"/>
    <w:rsid w:val="00B41FC7"/>
    <w:rsid w:val="00B43503"/>
    <w:rsid w:val="00B457FC"/>
    <w:rsid w:val="00B4646F"/>
    <w:rsid w:val="00B50E1A"/>
    <w:rsid w:val="00B510C9"/>
    <w:rsid w:val="00B51F00"/>
    <w:rsid w:val="00B526BF"/>
    <w:rsid w:val="00B55484"/>
    <w:rsid w:val="00B6198A"/>
    <w:rsid w:val="00B619D7"/>
    <w:rsid w:val="00B62E14"/>
    <w:rsid w:val="00B65B08"/>
    <w:rsid w:val="00B735FB"/>
    <w:rsid w:val="00B7388A"/>
    <w:rsid w:val="00B73BD7"/>
    <w:rsid w:val="00B872FE"/>
    <w:rsid w:val="00B9287D"/>
    <w:rsid w:val="00B95D7C"/>
    <w:rsid w:val="00B97ABF"/>
    <w:rsid w:val="00BA6D4A"/>
    <w:rsid w:val="00BA72B3"/>
    <w:rsid w:val="00BA7794"/>
    <w:rsid w:val="00BB064B"/>
    <w:rsid w:val="00BB0731"/>
    <w:rsid w:val="00BB38F1"/>
    <w:rsid w:val="00BB6D61"/>
    <w:rsid w:val="00BB7E26"/>
    <w:rsid w:val="00BC0BA4"/>
    <w:rsid w:val="00BC2A97"/>
    <w:rsid w:val="00BD0DE9"/>
    <w:rsid w:val="00BD24F8"/>
    <w:rsid w:val="00BE0E8F"/>
    <w:rsid w:val="00BE68C8"/>
    <w:rsid w:val="00BF22B6"/>
    <w:rsid w:val="00BF3D77"/>
    <w:rsid w:val="00C015B2"/>
    <w:rsid w:val="00C02A5F"/>
    <w:rsid w:val="00C05740"/>
    <w:rsid w:val="00C115C8"/>
    <w:rsid w:val="00C16505"/>
    <w:rsid w:val="00C235EA"/>
    <w:rsid w:val="00C33EA5"/>
    <w:rsid w:val="00C36A39"/>
    <w:rsid w:val="00C43DBB"/>
    <w:rsid w:val="00C50588"/>
    <w:rsid w:val="00C61187"/>
    <w:rsid w:val="00C62C06"/>
    <w:rsid w:val="00C63A97"/>
    <w:rsid w:val="00C64FCF"/>
    <w:rsid w:val="00C663E8"/>
    <w:rsid w:val="00C67719"/>
    <w:rsid w:val="00C7242A"/>
    <w:rsid w:val="00C74FC6"/>
    <w:rsid w:val="00C81DB7"/>
    <w:rsid w:val="00C83618"/>
    <w:rsid w:val="00C93A62"/>
    <w:rsid w:val="00C944B1"/>
    <w:rsid w:val="00C96008"/>
    <w:rsid w:val="00CA1AF6"/>
    <w:rsid w:val="00CA4295"/>
    <w:rsid w:val="00CA5BBC"/>
    <w:rsid w:val="00CA66D0"/>
    <w:rsid w:val="00CB23B0"/>
    <w:rsid w:val="00CC149D"/>
    <w:rsid w:val="00CC5DF6"/>
    <w:rsid w:val="00CD38AA"/>
    <w:rsid w:val="00CD5E9D"/>
    <w:rsid w:val="00CD68E2"/>
    <w:rsid w:val="00CE2C33"/>
    <w:rsid w:val="00CE39D8"/>
    <w:rsid w:val="00CE5830"/>
    <w:rsid w:val="00CF70CE"/>
    <w:rsid w:val="00D0219C"/>
    <w:rsid w:val="00D02BBF"/>
    <w:rsid w:val="00D07B92"/>
    <w:rsid w:val="00D126ED"/>
    <w:rsid w:val="00D15C8E"/>
    <w:rsid w:val="00D2076E"/>
    <w:rsid w:val="00D25B33"/>
    <w:rsid w:val="00D31288"/>
    <w:rsid w:val="00D32D70"/>
    <w:rsid w:val="00D362AF"/>
    <w:rsid w:val="00D36723"/>
    <w:rsid w:val="00D3673A"/>
    <w:rsid w:val="00D46427"/>
    <w:rsid w:val="00D46C6E"/>
    <w:rsid w:val="00D535C7"/>
    <w:rsid w:val="00D54A13"/>
    <w:rsid w:val="00D65EF1"/>
    <w:rsid w:val="00D7108A"/>
    <w:rsid w:val="00D81C70"/>
    <w:rsid w:val="00D84C2E"/>
    <w:rsid w:val="00D90E40"/>
    <w:rsid w:val="00D91ADD"/>
    <w:rsid w:val="00D9314A"/>
    <w:rsid w:val="00D93493"/>
    <w:rsid w:val="00DA4E00"/>
    <w:rsid w:val="00DA629B"/>
    <w:rsid w:val="00DA6C70"/>
    <w:rsid w:val="00DB7D77"/>
    <w:rsid w:val="00DC3A31"/>
    <w:rsid w:val="00DC6DBE"/>
    <w:rsid w:val="00DD3B1D"/>
    <w:rsid w:val="00DD6B4D"/>
    <w:rsid w:val="00DE71A1"/>
    <w:rsid w:val="00DF3073"/>
    <w:rsid w:val="00DF52B8"/>
    <w:rsid w:val="00DF600F"/>
    <w:rsid w:val="00E04D3B"/>
    <w:rsid w:val="00E12DFE"/>
    <w:rsid w:val="00E162F5"/>
    <w:rsid w:val="00E16A0B"/>
    <w:rsid w:val="00E23E6E"/>
    <w:rsid w:val="00E25242"/>
    <w:rsid w:val="00E30B95"/>
    <w:rsid w:val="00E35C10"/>
    <w:rsid w:val="00E367F4"/>
    <w:rsid w:val="00E54633"/>
    <w:rsid w:val="00E54AF0"/>
    <w:rsid w:val="00E60055"/>
    <w:rsid w:val="00E63460"/>
    <w:rsid w:val="00E63F35"/>
    <w:rsid w:val="00E7291A"/>
    <w:rsid w:val="00E7428D"/>
    <w:rsid w:val="00E763AA"/>
    <w:rsid w:val="00E771F0"/>
    <w:rsid w:val="00E8454B"/>
    <w:rsid w:val="00E8710F"/>
    <w:rsid w:val="00E87C90"/>
    <w:rsid w:val="00E90A9E"/>
    <w:rsid w:val="00E94308"/>
    <w:rsid w:val="00E97515"/>
    <w:rsid w:val="00E9783A"/>
    <w:rsid w:val="00EA30E2"/>
    <w:rsid w:val="00EB007D"/>
    <w:rsid w:val="00EB235C"/>
    <w:rsid w:val="00EC2BEC"/>
    <w:rsid w:val="00EC5EC4"/>
    <w:rsid w:val="00EC6178"/>
    <w:rsid w:val="00ED4FA4"/>
    <w:rsid w:val="00ED6ECC"/>
    <w:rsid w:val="00EE1A56"/>
    <w:rsid w:val="00EE38DC"/>
    <w:rsid w:val="00EE4A47"/>
    <w:rsid w:val="00EE59C5"/>
    <w:rsid w:val="00EF06B8"/>
    <w:rsid w:val="00EF6158"/>
    <w:rsid w:val="00EF6E6E"/>
    <w:rsid w:val="00F176C4"/>
    <w:rsid w:val="00F1785B"/>
    <w:rsid w:val="00F30E52"/>
    <w:rsid w:val="00F62262"/>
    <w:rsid w:val="00F63F16"/>
    <w:rsid w:val="00F70F8A"/>
    <w:rsid w:val="00F72E9F"/>
    <w:rsid w:val="00F8005C"/>
    <w:rsid w:val="00F816D1"/>
    <w:rsid w:val="00F81C50"/>
    <w:rsid w:val="00F826FC"/>
    <w:rsid w:val="00F958E6"/>
    <w:rsid w:val="00F974E9"/>
    <w:rsid w:val="00FA4963"/>
    <w:rsid w:val="00FA526B"/>
    <w:rsid w:val="00FA5D21"/>
    <w:rsid w:val="00FA6C51"/>
    <w:rsid w:val="00FA6E29"/>
    <w:rsid w:val="00FA7C25"/>
    <w:rsid w:val="00FC45EB"/>
    <w:rsid w:val="00FD0B7A"/>
    <w:rsid w:val="00FD2EA0"/>
    <w:rsid w:val="00FE2E00"/>
    <w:rsid w:val="00FE769C"/>
    <w:rsid w:val="00FE7E57"/>
    <w:rsid w:val="00FE7E67"/>
    <w:rsid w:val="00FF488F"/>
    <w:rsid w:val="00FF4B35"/>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A7DF64"/>
  <w15:docId w15:val="{3F93B49F-C1CA-41FC-97DA-EE0FF7DB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recoemdnaciones"/>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recoemdnaciones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TDC3">
    <w:name w:val="toc 3"/>
    <w:basedOn w:val="Normal"/>
    <w:next w:val="Normal"/>
    <w:autoRedefine/>
    <w:uiPriority w:val="39"/>
    <w:unhideWhenUsed/>
    <w:rsid w:val="00AE0FB8"/>
    <w:pPr>
      <w:spacing w:after="100"/>
      <w:ind w:left="440"/>
    </w:pPr>
    <w:rPr>
      <w:rFonts w:eastAsiaTheme="minorEastAsia" w:cs="Times New Roman"/>
      <w:lang w:eastAsia="es-CR"/>
    </w:rPr>
  </w:style>
  <w:style w:type="paragraph" w:styleId="Textonotapie">
    <w:name w:val="footnote text"/>
    <w:basedOn w:val="Normal"/>
    <w:link w:val="TextonotapieCar"/>
    <w:uiPriority w:val="99"/>
    <w:semiHidden/>
    <w:unhideWhenUsed/>
    <w:rsid w:val="0061266D"/>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61266D"/>
    <w:rPr>
      <w:rFonts w:eastAsiaTheme="minorEastAsia"/>
      <w:sz w:val="20"/>
      <w:szCs w:val="20"/>
      <w:lang w:eastAsia="es-ES"/>
    </w:rPr>
  </w:style>
  <w:style w:type="character" w:styleId="Refdenotaalpie">
    <w:name w:val="footnote reference"/>
    <w:basedOn w:val="Fuentedeprrafopredeter"/>
    <w:uiPriority w:val="99"/>
    <w:semiHidden/>
    <w:unhideWhenUsed/>
    <w:rsid w:val="0061266D"/>
    <w:rPr>
      <w:vertAlign w:val="superscript"/>
    </w:rPr>
  </w:style>
  <w:style w:type="character" w:styleId="Nmerodepgina">
    <w:name w:val="page number"/>
    <w:basedOn w:val="Fuentedeprrafopredeter"/>
    <w:uiPriority w:val="99"/>
    <w:semiHidden/>
    <w:unhideWhenUsed/>
    <w:rsid w:val="00961C8F"/>
  </w:style>
  <w:style w:type="table" w:customStyle="1" w:styleId="Tablaconcuadrcula1">
    <w:name w:val="Tabla con cuadrícula1"/>
    <w:basedOn w:val="Tablanormal"/>
    <w:next w:val="Tablaconcuadrcula"/>
    <w:uiPriority w:val="39"/>
    <w:rsid w:val="00C6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0873">
      <w:bodyDiv w:val="1"/>
      <w:marLeft w:val="0"/>
      <w:marRight w:val="0"/>
      <w:marTop w:val="0"/>
      <w:marBottom w:val="0"/>
      <w:divBdr>
        <w:top w:val="none" w:sz="0" w:space="0" w:color="auto"/>
        <w:left w:val="none" w:sz="0" w:space="0" w:color="auto"/>
        <w:bottom w:val="none" w:sz="0" w:space="0" w:color="auto"/>
        <w:right w:val="none" w:sz="0" w:space="0" w:color="auto"/>
      </w:divBdr>
    </w:div>
    <w:div w:id="196356779">
      <w:bodyDiv w:val="1"/>
      <w:marLeft w:val="0"/>
      <w:marRight w:val="0"/>
      <w:marTop w:val="0"/>
      <w:marBottom w:val="0"/>
      <w:divBdr>
        <w:top w:val="none" w:sz="0" w:space="0" w:color="auto"/>
        <w:left w:val="none" w:sz="0" w:space="0" w:color="auto"/>
        <w:bottom w:val="none" w:sz="0" w:space="0" w:color="auto"/>
        <w:right w:val="none" w:sz="0" w:space="0" w:color="auto"/>
      </w:divBdr>
    </w:div>
    <w:div w:id="873079220">
      <w:bodyDiv w:val="1"/>
      <w:marLeft w:val="0"/>
      <w:marRight w:val="0"/>
      <w:marTop w:val="0"/>
      <w:marBottom w:val="0"/>
      <w:divBdr>
        <w:top w:val="none" w:sz="0" w:space="0" w:color="auto"/>
        <w:left w:val="none" w:sz="0" w:space="0" w:color="auto"/>
        <w:bottom w:val="none" w:sz="0" w:space="0" w:color="auto"/>
        <w:right w:val="none" w:sz="0" w:space="0" w:color="auto"/>
      </w:divBdr>
      <w:divsChild>
        <w:div w:id="9453167">
          <w:marLeft w:val="446"/>
          <w:marRight w:val="0"/>
          <w:marTop w:val="0"/>
          <w:marBottom w:val="0"/>
          <w:divBdr>
            <w:top w:val="none" w:sz="0" w:space="0" w:color="auto"/>
            <w:left w:val="none" w:sz="0" w:space="0" w:color="auto"/>
            <w:bottom w:val="none" w:sz="0" w:space="0" w:color="auto"/>
            <w:right w:val="none" w:sz="0" w:space="0" w:color="auto"/>
          </w:divBdr>
        </w:div>
        <w:div w:id="706756095">
          <w:marLeft w:val="446"/>
          <w:marRight w:val="0"/>
          <w:marTop w:val="0"/>
          <w:marBottom w:val="0"/>
          <w:divBdr>
            <w:top w:val="none" w:sz="0" w:space="0" w:color="auto"/>
            <w:left w:val="none" w:sz="0" w:space="0" w:color="auto"/>
            <w:bottom w:val="none" w:sz="0" w:space="0" w:color="auto"/>
            <w:right w:val="none" w:sz="0" w:space="0" w:color="auto"/>
          </w:divBdr>
        </w:div>
        <w:div w:id="924848168">
          <w:marLeft w:val="446"/>
          <w:marRight w:val="0"/>
          <w:marTop w:val="0"/>
          <w:marBottom w:val="0"/>
          <w:divBdr>
            <w:top w:val="none" w:sz="0" w:space="0" w:color="auto"/>
            <w:left w:val="none" w:sz="0" w:space="0" w:color="auto"/>
            <w:bottom w:val="none" w:sz="0" w:space="0" w:color="auto"/>
            <w:right w:val="none" w:sz="0" w:space="0" w:color="auto"/>
          </w:divBdr>
        </w:div>
        <w:div w:id="1053502788">
          <w:marLeft w:val="446"/>
          <w:marRight w:val="0"/>
          <w:marTop w:val="0"/>
          <w:marBottom w:val="0"/>
          <w:divBdr>
            <w:top w:val="none" w:sz="0" w:space="0" w:color="auto"/>
            <w:left w:val="none" w:sz="0" w:space="0" w:color="auto"/>
            <w:bottom w:val="none" w:sz="0" w:space="0" w:color="auto"/>
            <w:right w:val="none" w:sz="0" w:space="0" w:color="auto"/>
          </w:divBdr>
        </w:div>
        <w:div w:id="1115252623">
          <w:marLeft w:val="446"/>
          <w:marRight w:val="0"/>
          <w:marTop w:val="0"/>
          <w:marBottom w:val="0"/>
          <w:divBdr>
            <w:top w:val="none" w:sz="0" w:space="0" w:color="auto"/>
            <w:left w:val="none" w:sz="0" w:space="0" w:color="auto"/>
            <w:bottom w:val="none" w:sz="0" w:space="0" w:color="auto"/>
            <w:right w:val="none" w:sz="0" w:space="0" w:color="auto"/>
          </w:divBdr>
        </w:div>
        <w:div w:id="1353611609">
          <w:marLeft w:val="446"/>
          <w:marRight w:val="0"/>
          <w:marTop w:val="0"/>
          <w:marBottom w:val="0"/>
          <w:divBdr>
            <w:top w:val="none" w:sz="0" w:space="0" w:color="auto"/>
            <w:left w:val="none" w:sz="0" w:space="0" w:color="auto"/>
            <w:bottom w:val="none" w:sz="0" w:space="0" w:color="auto"/>
            <w:right w:val="none" w:sz="0" w:space="0" w:color="auto"/>
          </w:divBdr>
        </w:div>
        <w:div w:id="1586109522">
          <w:marLeft w:val="446"/>
          <w:marRight w:val="0"/>
          <w:marTop w:val="0"/>
          <w:marBottom w:val="0"/>
          <w:divBdr>
            <w:top w:val="none" w:sz="0" w:space="0" w:color="auto"/>
            <w:left w:val="none" w:sz="0" w:space="0" w:color="auto"/>
            <w:bottom w:val="none" w:sz="0" w:space="0" w:color="auto"/>
            <w:right w:val="none" w:sz="0" w:space="0" w:color="auto"/>
          </w:divBdr>
        </w:div>
        <w:div w:id="1602256150">
          <w:marLeft w:val="446"/>
          <w:marRight w:val="0"/>
          <w:marTop w:val="0"/>
          <w:marBottom w:val="0"/>
          <w:divBdr>
            <w:top w:val="none" w:sz="0" w:space="0" w:color="auto"/>
            <w:left w:val="none" w:sz="0" w:space="0" w:color="auto"/>
            <w:bottom w:val="none" w:sz="0" w:space="0" w:color="auto"/>
            <w:right w:val="none" w:sz="0" w:space="0" w:color="auto"/>
          </w:divBdr>
        </w:div>
        <w:div w:id="1684473291">
          <w:marLeft w:val="446"/>
          <w:marRight w:val="0"/>
          <w:marTop w:val="0"/>
          <w:marBottom w:val="0"/>
          <w:divBdr>
            <w:top w:val="none" w:sz="0" w:space="0" w:color="auto"/>
            <w:left w:val="none" w:sz="0" w:space="0" w:color="auto"/>
            <w:bottom w:val="none" w:sz="0" w:space="0" w:color="auto"/>
            <w:right w:val="none" w:sz="0" w:space="0" w:color="auto"/>
          </w:divBdr>
        </w:div>
        <w:div w:id="1749034910">
          <w:marLeft w:val="446"/>
          <w:marRight w:val="0"/>
          <w:marTop w:val="0"/>
          <w:marBottom w:val="0"/>
          <w:divBdr>
            <w:top w:val="none" w:sz="0" w:space="0" w:color="auto"/>
            <w:left w:val="none" w:sz="0" w:space="0" w:color="auto"/>
            <w:bottom w:val="none" w:sz="0" w:space="0" w:color="auto"/>
            <w:right w:val="none" w:sz="0" w:space="0" w:color="auto"/>
          </w:divBdr>
        </w:div>
        <w:div w:id="1761415780">
          <w:marLeft w:val="446"/>
          <w:marRight w:val="0"/>
          <w:marTop w:val="0"/>
          <w:marBottom w:val="0"/>
          <w:divBdr>
            <w:top w:val="none" w:sz="0" w:space="0" w:color="auto"/>
            <w:left w:val="none" w:sz="0" w:space="0" w:color="auto"/>
            <w:bottom w:val="none" w:sz="0" w:space="0" w:color="auto"/>
            <w:right w:val="none" w:sz="0" w:space="0" w:color="auto"/>
          </w:divBdr>
        </w:div>
        <w:div w:id="1848907471">
          <w:marLeft w:val="446"/>
          <w:marRight w:val="0"/>
          <w:marTop w:val="0"/>
          <w:marBottom w:val="0"/>
          <w:divBdr>
            <w:top w:val="none" w:sz="0" w:space="0" w:color="auto"/>
            <w:left w:val="none" w:sz="0" w:space="0" w:color="auto"/>
            <w:bottom w:val="none" w:sz="0" w:space="0" w:color="auto"/>
            <w:right w:val="none" w:sz="0" w:space="0" w:color="auto"/>
          </w:divBdr>
        </w:div>
        <w:div w:id="2038962281">
          <w:marLeft w:val="446"/>
          <w:marRight w:val="0"/>
          <w:marTop w:val="0"/>
          <w:marBottom w:val="0"/>
          <w:divBdr>
            <w:top w:val="none" w:sz="0" w:space="0" w:color="auto"/>
            <w:left w:val="none" w:sz="0" w:space="0" w:color="auto"/>
            <w:bottom w:val="none" w:sz="0" w:space="0" w:color="auto"/>
            <w:right w:val="none" w:sz="0" w:space="0" w:color="auto"/>
          </w:divBdr>
        </w:div>
      </w:divsChild>
    </w:div>
    <w:div w:id="902911951">
      <w:bodyDiv w:val="1"/>
      <w:marLeft w:val="0"/>
      <w:marRight w:val="0"/>
      <w:marTop w:val="0"/>
      <w:marBottom w:val="0"/>
      <w:divBdr>
        <w:top w:val="none" w:sz="0" w:space="0" w:color="auto"/>
        <w:left w:val="none" w:sz="0" w:space="0" w:color="auto"/>
        <w:bottom w:val="none" w:sz="0" w:space="0" w:color="auto"/>
        <w:right w:val="none" w:sz="0" w:space="0" w:color="auto"/>
      </w:divBdr>
    </w:div>
    <w:div w:id="1147361593">
      <w:bodyDiv w:val="1"/>
      <w:marLeft w:val="0"/>
      <w:marRight w:val="0"/>
      <w:marTop w:val="0"/>
      <w:marBottom w:val="0"/>
      <w:divBdr>
        <w:top w:val="none" w:sz="0" w:space="0" w:color="auto"/>
        <w:left w:val="none" w:sz="0" w:space="0" w:color="auto"/>
        <w:bottom w:val="none" w:sz="0" w:space="0" w:color="auto"/>
        <w:right w:val="none" w:sz="0" w:space="0" w:color="auto"/>
      </w:divBdr>
    </w:div>
    <w:div w:id="1160343102">
      <w:bodyDiv w:val="1"/>
      <w:marLeft w:val="0"/>
      <w:marRight w:val="0"/>
      <w:marTop w:val="0"/>
      <w:marBottom w:val="0"/>
      <w:divBdr>
        <w:top w:val="none" w:sz="0" w:space="0" w:color="auto"/>
        <w:left w:val="none" w:sz="0" w:space="0" w:color="auto"/>
        <w:bottom w:val="none" w:sz="0" w:space="0" w:color="auto"/>
        <w:right w:val="none" w:sz="0" w:space="0" w:color="auto"/>
      </w:divBdr>
    </w:div>
    <w:div w:id="1891307424">
      <w:bodyDiv w:val="1"/>
      <w:marLeft w:val="0"/>
      <w:marRight w:val="0"/>
      <w:marTop w:val="0"/>
      <w:marBottom w:val="0"/>
      <w:divBdr>
        <w:top w:val="none" w:sz="0" w:space="0" w:color="auto"/>
        <w:left w:val="none" w:sz="0" w:space="0" w:color="auto"/>
        <w:bottom w:val="none" w:sz="0" w:space="0" w:color="auto"/>
        <w:right w:val="none" w:sz="0" w:space="0" w:color="auto"/>
      </w:divBdr>
    </w:div>
    <w:div w:id="20221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haciendacr-my.sharepoint.com/personal/morasn_hacienda_go_cr/Documents/Estudios/2022/Estudio%20007-2022%20Recomendaciones%20Cobro%20Judicial/Copia%20de%20gr&#225;f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R" sz="1100">
                <a:latin typeface="Arial" panose="020B0604020202020204" pitchFamily="34" charset="0"/>
                <a:cs typeface="Arial" panose="020B0604020202020204" pitchFamily="34" charset="0"/>
              </a:rPr>
              <a:t>gráfico N°1</a:t>
            </a:r>
            <a:r>
              <a:rPr lang="es-CR" sz="1100" baseline="0">
                <a:latin typeface="Arial" panose="020B0604020202020204" pitchFamily="34" charset="0"/>
                <a:cs typeface="Arial" panose="020B0604020202020204" pitchFamily="34" charset="0"/>
              </a:rPr>
              <a:t> Recomendaciones pendientes poR informe</a:t>
            </a:r>
          </a:p>
          <a:p>
            <a:pPr>
              <a:defRPr sz="1100">
                <a:latin typeface="Arial" panose="020B0604020202020204" pitchFamily="34" charset="0"/>
                <a:cs typeface="Arial" panose="020B0604020202020204" pitchFamily="34" charset="0"/>
              </a:defRPr>
            </a:pPr>
            <a:r>
              <a:rPr lang="es-CR" sz="1100" baseline="0">
                <a:latin typeface="Arial" panose="020B0604020202020204" pitchFamily="34" charset="0"/>
                <a:cs typeface="Arial" panose="020B0604020202020204" pitchFamily="34" charset="0"/>
              </a:rPr>
              <a:t>A mayo de 2022</a:t>
            </a:r>
            <a:endParaRPr lang="es-CR"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0"/>
          <c:dPt>
            <c:idx val="0"/>
            <c:bubble3D val="0"/>
            <c:explosion val="12"/>
            <c:spPr>
              <a:solidFill>
                <a:schemeClr val="accent1">
                  <a:shade val="4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CA-491B-82F7-7EA5F5DDB747}"/>
              </c:ext>
            </c:extLst>
          </c:dPt>
          <c:dPt>
            <c:idx val="1"/>
            <c:bubble3D val="0"/>
            <c:explosion val="6"/>
            <c:spPr>
              <a:solidFill>
                <a:schemeClr val="accent1">
                  <a:shade val="61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1CA-491B-82F7-7EA5F5DDB747}"/>
              </c:ext>
            </c:extLst>
          </c:dPt>
          <c:dPt>
            <c:idx val="2"/>
            <c:bubble3D val="0"/>
            <c:explosion val="11"/>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1CA-491B-82F7-7EA5F5DDB747}"/>
              </c:ext>
            </c:extLst>
          </c:dPt>
          <c:dPt>
            <c:idx val="3"/>
            <c:bubble3D val="0"/>
            <c:explosion val="7"/>
            <c:spPr>
              <a:solidFill>
                <a:schemeClr val="accent1">
                  <a:shade val="9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1CA-491B-82F7-7EA5F5DDB747}"/>
              </c:ext>
            </c:extLst>
          </c:dPt>
          <c:dPt>
            <c:idx val="4"/>
            <c:bubble3D val="0"/>
            <c:explosion val="8"/>
            <c:spPr>
              <a:solidFill>
                <a:schemeClr val="accent1">
                  <a:tint val="9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1CA-491B-82F7-7EA5F5DDB747}"/>
              </c:ext>
            </c:extLst>
          </c:dPt>
          <c:dPt>
            <c:idx val="5"/>
            <c:bubble3D val="0"/>
            <c:explosion val="1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1CA-491B-82F7-7EA5F5DDB747}"/>
              </c:ext>
            </c:extLst>
          </c:dPt>
          <c:dPt>
            <c:idx val="6"/>
            <c:bubble3D val="0"/>
            <c:explosion val="7"/>
            <c:spPr>
              <a:solidFill>
                <a:schemeClr val="accent1">
                  <a:tint val="6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1CA-491B-82F7-7EA5F5DDB747}"/>
              </c:ext>
            </c:extLst>
          </c:dPt>
          <c:dPt>
            <c:idx val="7"/>
            <c:bubble3D val="0"/>
            <c:explosion val="9"/>
            <c:spPr>
              <a:solidFill>
                <a:schemeClr val="accent1">
                  <a:tint val="4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C1CA-491B-82F7-7EA5F5DDB747}"/>
              </c:ext>
            </c:extLst>
          </c:dPt>
          <c:dLbls>
            <c:dLbl>
              <c:idx val="0"/>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C1CA-491B-82F7-7EA5F5DDB747}"/>
                </c:ext>
              </c:extLst>
            </c:dLbl>
            <c:dLbl>
              <c:idx val="1"/>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C1CA-491B-82F7-7EA5F5DDB747}"/>
                </c:ext>
              </c:extLst>
            </c:dLbl>
            <c:dLbl>
              <c:idx val="2"/>
              <c:layout>
                <c:manualLayout>
                  <c:x val="-9.709797076150993E-2"/>
                  <c:y val="6.7390424565451384E-2"/>
                </c:manualLayout>
              </c:layout>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2261610436378193"/>
                      <c:h val="0.1579656189809287"/>
                    </c:manualLayout>
                  </c15:layout>
                </c:ext>
                <c:ext xmlns:c16="http://schemas.microsoft.com/office/drawing/2014/chart" uri="{C3380CC4-5D6E-409C-BE32-E72D297353CC}">
                  <c16:uniqueId val="{00000005-C1CA-491B-82F7-7EA5F5DDB747}"/>
                </c:ext>
              </c:extLst>
            </c:dLbl>
            <c:dLbl>
              <c:idx val="3"/>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6="http://schemas.microsoft.com/office/drawing/2014/chart" uri="{C3380CC4-5D6E-409C-BE32-E72D297353CC}">
                  <c16:uniqueId val="{00000007-C1CA-491B-82F7-7EA5F5DDB747}"/>
                </c:ext>
              </c:extLst>
            </c:dLbl>
            <c:dLbl>
              <c:idx val="4"/>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6="http://schemas.microsoft.com/office/drawing/2014/chart" uri="{C3380CC4-5D6E-409C-BE32-E72D297353CC}">
                  <c16:uniqueId val="{00000009-C1CA-491B-82F7-7EA5F5DDB747}"/>
                </c:ext>
              </c:extLst>
            </c:dLbl>
            <c:dLbl>
              <c:idx val="5"/>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6="http://schemas.microsoft.com/office/drawing/2014/chart" uri="{C3380CC4-5D6E-409C-BE32-E72D297353CC}">
                  <c16:uniqueId val="{0000000B-C1CA-491B-82F7-7EA5F5DDB747}"/>
                </c:ext>
              </c:extLst>
            </c:dLbl>
            <c:dLbl>
              <c:idx val="6"/>
              <c:tx>
                <c:rich>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fld id="{93002FE6-A085-488E-8D01-277103D98E25}" type="CATEGORYNAME">
                      <a:rPr lang="en-US" sz="800" b="0">
                        <a:solidFill>
                          <a:schemeClr val="tx1"/>
                        </a:solidFill>
                        <a:latin typeface="Arial" panose="020B0604020202020204" pitchFamily="34" charset="0"/>
                        <a:cs typeface="Arial" panose="020B0604020202020204" pitchFamily="34" charset="0"/>
                      </a:rPr>
                      <a:pPr>
                        <a:defRPr sz="800" b="0">
                          <a:solidFill>
                            <a:schemeClr val="tx1"/>
                          </a:solidFill>
                          <a:latin typeface="Arial" panose="020B0604020202020204" pitchFamily="34" charset="0"/>
                          <a:cs typeface="Arial" panose="020B0604020202020204" pitchFamily="34" charset="0"/>
                        </a:defRPr>
                      </a:pPr>
                      <a:t>[NOMBRE DE CATEGORÍA]</a:t>
                    </a:fld>
                    <a:endParaRPr lang="es-CR"/>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1CA-491B-82F7-7EA5F5DDB747}"/>
                </c:ext>
              </c:extLst>
            </c:dLbl>
            <c:dLbl>
              <c:idx val="7"/>
              <c:tx>
                <c:rich>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fld id="{7F22AC87-9F6C-44EF-ABC5-0A55E095F6CE}" type="CATEGORYNAME">
                      <a:rPr lang="en-US" sz="800" b="0">
                        <a:solidFill>
                          <a:schemeClr val="tx1"/>
                        </a:solidFill>
                        <a:latin typeface="Arial" panose="020B0604020202020204" pitchFamily="34" charset="0"/>
                        <a:cs typeface="Arial" panose="020B0604020202020204" pitchFamily="34" charset="0"/>
                      </a:rPr>
                      <a:pPr>
                        <a:defRPr sz="800" b="0">
                          <a:solidFill>
                            <a:schemeClr val="tx1"/>
                          </a:solidFill>
                          <a:latin typeface="Arial" panose="020B0604020202020204" pitchFamily="34" charset="0"/>
                          <a:cs typeface="Arial" panose="020B0604020202020204" pitchFamily="34" charset="0"/>
                        </a:defRPr>
                      </a:pPr>
                      <a:t>[NOMBRE DE CATEGORÍA]</a:t>
                    </a:fld>
                    <a:endParaRPr lang="es-CR"/>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1CA-491B-82F7-7EA5F5DDB74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s-C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'[Copia de gráfico.xlsx]Hoja1'!$A$3:$H$3</c:f>
              <c:strCache>
                <c:ptCount val="8"/>
                <c:pt idx="0">
                  <c:v>INF-DGAI-024-2012; 4</c:v>
                </c:pt>
                <c:pt idx="1">
                  <c:v>DGAI-INF-024-2016; 1</c:v>
                </c:pt>
                <c:pt idx="2">
                  <c:v>DGAI-INF-002-2017; 9</c:v>
                </c:pt>
                <c:pt idx="3">
                  <c:v>AI-INF-007-2017; 5</c:v>
                </c:pt>
                <c:pt idx="4">
                  <c:v>AI-INF-024-2017; 6</c:v>
                </c:pt>
                <c:pt idx="5">
                  <c:v>AI-INF-025-2017; 13</c:v>
                </c:pt>
                <c:pt idx="6">
                  <c:v>AI-INF-027-2017; 2</c:v>
                </c:pt>
                <c:pt idx="7">
                  <c:v>AI-INF-010-2018; 2</c:v>
                </c:pt>
              </c:strCache>
            </c:strRef>
          </c:cat>
          <c:val>
            <c:numRef>
              <c:f>'[Copia de gráfico.xlsx]Hoja1'!$A$4:$H$4</c:f>
              <c:numCache>
                <c:formatCode>General</c:formatCode>
                <c:ptCount val="8"/>
                <c:pt idx="0">
                  <c:v>4</c:v>
                </c:pt>
                <c:pt idx="1">
                  <c:v>1</c:v>
                </c:pt>
                <c:pt idx="2">
                  <c:v>9</c:v>
                </c:pt>
                <c:pt idx="3">
                  <c:v>5</c:v>
                </c:pt>
                <c:pt idx="4">
                  <c:v>6</c:v>
                </c:pt>
                <c:pt idx="5">
                  <c:v>13</c:v>
                </c:pt>
                <c:pt idx="6">
                  <c:v>2</c:v>
                </c:pt>
                <c:pt idx="7">
                  <c:v>2</c:v>
                </c:pt>
              </c:numCache>
            </c:numRef>
          </c:val>
          <c:extLst>
            <c:ext xmlns:c16="http://schemas.microsoft.com/office/drawing/2014/chart" uri="{C3380CC4-5D6E-409C-BE32-E72D297353CC}">
              <c16:uniqueId val="{00000010-C1CA-491B-82F7-7EA5F5DDB747}"/>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EA6307D80F14BAB3957142425D0C0" ma:contentTypeVersion="14" ma:contentTypeDescription="Crear nuevo documento." ma:contentTypeScope="" ma:versionID="b2c21d2d633606e3bdefe71df994a161">
  <xsd:schema xmlns:xsd="http://www.w3.org/2001/XMLSchema" xmlns:xs="http://www.w3.org/2001/XMLSchema" xmlns:p="http://schemas.microsoft.com/office/2006/metadata/properties" xmlns:ns3="ca0b8503-558e-4550-823a-26f008707f9a" xmlns:ns4="9f1d2543-a317-404b-b796-299c7d331056" targetNamespace="http://schemas.microsoft.com/office/2006/metadata/properties" ma:root="true" ma:fieldsID="81304dfb07a03be82d46818dc64e62b4" ns3:_="" ns4:_="">
    <xsd:import namespace="ca0b8503-558e-4550-823a-26f008707f9a"/>
    <xsd:import namespace="9f1d2543-a317-404b-b796-299c7d331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b8503-558e-4550-823a-26f008707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1d2543-a317-404b-b796-299c7d33105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BC90-F2ED-4A7E-A070-C137F38E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b8503-558e-4550-823a-26f008707f9a"/>
    <ds:schemaRef ds:uri="9f1d2543-a317-404b-b796-299c7d331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7DA7D-1EE2-432F-9874-C0D79D80B934}">
  <ds:schemaRefs>
    <ds:schemaRef ds:uri="http://purl.org/dc/dcmitype/"/>
    <ds:schemaRef ds:uri="http://schemas.microsoft.com/office/2006/documentManagement/types"/>
    <ds:schemaRef ds:uri="ca0b8503-558e-4550-823a-26f008707f9a"/>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9f1d2543-a317-404b-b796-299c7d331056"/>
    <ds:schemaRef ds:uri="http://purl.org/dc/elements/1.1/"/>
  </ds:schemaRefs>
</ds:datastoreItem>
</file>

<file path=customXml/itemProps3.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4.xml><?xml version="1.0" encoding="utf-8"?>
<ds:datastoreItem xmlns:ds="http://schemas.openxmlformats.org/officeDocument/2006/customXml" ds:itemID="{9F9B56D5-3CFF-4F02-AF73-7167D06C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6611</Words>
  <Characters>36363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deInforme de Auditoría</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Guiselle Retana Corrales</dc:creator>
  <cp:keywords/>
  <dc:description/>
  <cp:lastModifiedBy>Natalia Mora Sanchez</cp:lastModifiedBy>
  <cp:revision>16</cp:revision>
  <cp:lastPrinted>2022-12-19T21:45:00Z</cp:lastPrinted>
  <dcterms:created xsi:type="dcterms:W3CDTF">2022-12-19T19:33:00Z</dcterms:created>
  <dcterms:modified xsi:type="dcterms:W3CDTF">2022-12-19T21:51:00Z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0x01010072EEA6307D80F14BAB3957142425D0C0</vt:lpwstr>
  </property>
</Properties>
</file>